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1F426">
      <w:pPr>
        <w:jc w:val="center"/>
        <w:rPr>
          <w:rFonts w:hint="eastAsia"/>
          <w:b/>
          <w:bCs/>
          <w:sz w:val="32"/>
          <w:szCs w:val="40"/>
        </w:rPr>
      </w:pPr>
      <w:r>
        <w:rPr>
          <w:rFonts w:hint="eastAsia"/>
          <w:b/>
          <w:bCs/>
          <w:sz w:val="32"/>
          <w:szCs w:val="40"/>
        </w:rPr>
        <w:t>福幼象园户外设施设备采购参数要求</w:t>
      </w:r>
    </w:p>
    <w:p w14:paraId="08654B7E">
      <w:pPr>
        <w:bidi w:val="0"/>
        <w:jc w:val="left"/>
        <w:rPr>
          <w:rFonts w:hint="eastAsia" w:ascii="宋体" w:hAnsi="宋体" w:eastAsia="宋体" w:cs="宋体"/>
          <w:sz w:val="24"/>
          <w:szCs w:val="24"/>
        </w:rPr>
      </w:pPr>
      <w:r>
        <w:rPr>
          <w:rFonts w:hint="eastAsia" w:ascii="宋体" w:hAnsi="宋体" w:eastAsia="宋体" w:cs="宋体"/>
          <w:sz w:val="24"/>
          <w:szCs w:val="24"/>
        </w:rPr>
        <w:t>项目总体要求:</w:t>
      </w:r>
    </w:p>
    <w:p w14:paraId="6D05421A">
      <w:pPr>
        <w:numPr>
          <w:ilvl w:val="0"/>
          <w:numId w:val="1"/>
        </w:numPr>
        <w:bidi w:val="0"/>
        <w:jc w:val="left"/>
        <w:rPr>
          <w:rFonts w:hint="eastAsia" w:ascii="宋体" w:hAnsi="宋体" w:eastAsia="宋体" w:cs="宋体"/>
          <w:sz w:val="24"/>
          <w:szCs w:val="24"/>
          <w:lang w:eastAsia="zh-CN"/>
        </w:rPr>
      </w:pPr>
      <w:r>
        <w:rPr>
          <w:rFonts w:hint="eastAsia" w:ascii="宋体" w:hAnsi="宋体" w:eastAsia="宋体" w:cs="宋体"/>
          <w:sz w:val="24"/>
          <w:szCs w:val="24"/>
        </w:rPr>
        <w:t>设备应符合标</w:t>
      </w:r>
      <w:bookmarkStart w:id="0" w:name="OLE_LINK3"/>
      <w:bookmarkStart w:id="1" w:name="OLE_LINK2"/>
      <w:r>
        <w:rPr>
          <w:rFonts w:hint="eastAsia" w:ascii="宋体" w:hAnsi="宋体" w:eastAsia="宋体" w:cs="宋体"/>
          <w:sz w:val="24"/>
          <w:szCs w:val="24"/>
        </w:rPr>
        <w:t>准要求</w:t>
      </w:r>
      <w:bookmarkEnd w:id="0"/>
      <w:bookmarkEnd w:id="1"/>
      <w:r>
        <w:rPr>
          <w:rFonts w:hint="eastAsia" w:ascii="宋体" w:hAnsi="宋体" w:eastAsia="宋体" w:cs="宋体"/>
          <w:sz w:val="24"/>
          <w:szCs w:val="24"/>
        </w:rPr>
        <w:t>（具体见参数)</w:t>
      </w:r>
      <w:r>
        <w:rPr>
          <w:rFonts w:hint="eastAsia" w:ascii="宋体" w:hAnsi="宋体" w:eastAsia="宋体" w:cs="宋体"/>
          <w:sz w:val="24"/>
          <w:szCs w:val="24"/>
          <w:lang w:eastAsia="zh-CN"/>
        </w:rPr>
        <w:t>；</w:t>
      </w:r>
    </w:p>
    <w:p w14:paraId="05A650AF">
      <w:pPr>
        <w:numPr>
          <w:ilvl w:val="0"/>
          <w:numId w:val="1"/>
        </w:numPr>
        <w:bidi w:val="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供货期限：合同签订后30个日历天内完成供货。</w:t>
      </w:r>
    </w:p>
    <w:p w14:paraId="75564583">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项目过程中产生的运输费用及安装费用由供货方承担。</w:t>
      </w:r>
    </w:p>
    <w:tbl>
      <w:tblPr>
        <w:tblStyle w:val="4"/>
        <w:tblW w:w="42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3"/>
        <w:gridCol w:w="1183"/>
        <w:gridCol w:w="4647"/>
        <w:gridCol w:w="811"/>
        <w:gridCol w:w="856"/>
      </w:tblGrid>
      <w:tr w14:paraId="68D38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133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序号</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DD8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产品名称</w:t>
            </w:r>
          </w:p>
        </w:tc>
        <w:tc>
          <w:tcPr>
            <w:tcW w:w="2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F44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规格、参数(正负偏离±5mm)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AD5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单位</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CB8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数量</w:t>
            </w:r>
          </w:p>
        </w:tc>
      </w:tr>
      <w:tr w14:paraId="07408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DAA5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bookmarkStart w:id="2" w:name="_GoBack"/>
            <w:bookmarkEnd w:id="2"/>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5A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悬浮地板</w:t>
            </w:r>
          </w:p>
        </w:tc>
        <w:tc>
          <w:tcPr>
            <w:tcW w:w="2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B78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基本要求 :</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1、产品规格</w:t>
            </w:r>
            <w:r>
              <w:rPr>
                <w:rFonts w:hint="eastAsia" w:asciiTheme="minorEastAsia" w:hAnsiTheme="minorEastAsia" w:cstheme="minorEastAsia"/>
                <w:b w:val="0"/>
                <w:bCs w:val="0"/>
                <w:i w:val="0"/>
                <w:iCs w:val="0"/>
                <w:color w:val="000000"/>
                <w:kern w:val="0"/>
                <w:sz w:val="24"/>
                <w:szCs w:val="24"/>
                <w:u w:val="none"/>
                <w:lang w:val="en-US" w:eastAsia="zh-CN" w:bidi="ar"/>
              </w:rPr>
              <w:t>范围</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：304mm×304mm×14.4mm，439.8g</w:t>
            </w:r>
          </w:p>
          <w:p w14:paraId="5033E5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2、热胀冷缩系统:由弹性扣+弹性支柱构成，防止因热胀冷缩引起的起拱或开裂。</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3、表面纹理：面板防滑纹路均匀排布，极大增强防滑性能。</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4、支撑系统：四围纵横筋位支撑、板面支撑。</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5、缓冲系统：由不少于50颗弹性垫组成且单颗弹性直径垫不低于16mm。</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具体参数：</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1、冲击吸收≥20%；垂直变形≤3mm；阻燃：I级；球反弹率≥93；摩擦系数：0.5-0.7；拉断伸长率≥40%；可溶性铅≤50mg/kg；</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悬浮式拼装运动地板耐热水测试（30℃）试验条件下4500h，依据GB36246-2018《中小学合成材料面层运动场地》相关要求，地板颜色均匀，无明显色差，表面无龟裂，气泡塑化不良，地板表面无毛刺；（投标时提供具有CMA和CNAS标识的第三方权威检测机构出具的检测报告彩色扫描件及全国认证认可信息公共服务平台查询截图）垂直变形：0.6mm-3.0mm；（投标时提供具有CMA和CNAS标识的第三方权威检测机构出具的检测报告及全国认证认可信息公共服务平台查询截图）</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悬浮式拼装运动地板低温（零下18℃）试验条件下4500h，依据GB36246-2018《中小学合成材料面层运动场地》相关要求，低温后拉伸强度≥0.4MPa、冲击吸收≥20%。（投标时提供具有CMA和CNAS标识的第三方权威检测机构出具的检测报告及全国认证认可信息公共服务平台查询截图）</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4、悬浮地板在低温在-30℃-80℃高低温下，依据GB36246-2018《中小学合成材料面层运动场地》及GB/T 14833-2020《合成材料运动场地面层》相关要求，冲击吸收≥20％ 。（投标时提供具有CMA和CNAS标识的第三方权威检测机构出具的检测报告及全国认证认可信息公共服务平台查询截图）</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悬浮地板在环境温度为70℃时在20KN的重力下经过反复压缩，依据GB36246-2018《中小学合成材料面层运动场地》相关要求，冲击吸收≥20%、垂直变形0.6-3.0mm。（投标时提供具有CMA和CNAS标识的第三方权威检测机构出具的检测报告及全国认证认可信息公共服务平台查询截图）</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E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平方</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944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140</w:t>
            </w:r>
          </w:p>
        </w:tc>
      </w:tr>
      <w:tr w14:paraId="7D21F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CF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492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滑索器</w:t>
            </w:r>
          </w:p>
        </w:tc>
        <w:tc>
          <w:tcPr>
            <w:tcW w:w="2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C7293">
            <w:pPr>
              <w:keepNext w:val="0"/>
              <w:keepLines w:val="0"/>
              <w:widowControl/>
              <w:suppressLineNumbers w:val="0"/>
              <w:jc w:val="left"/>
              <w:textAlignment w:val="center"/>
              <w:rPr>
                <w:rFonts w:hint="eastAsia" w:asciiTheme="minorEastAsia" w:hAnsi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产品规格</w:t>
            </w:r>
            <w:r>
              <w:rPr>
                <w:rFonts w:hint="eastAsia" w:asciiTheme="minorEastAsia" w:hAnsiTheme="minorEastAsia" w:cstheme="minorEastAsia"/>
                <w:b w:val="0"/>
                <w:bCs w:val="0"/>
                <w:i w:val="0"/>
                <w:iCs w:val="0"/>
                <w:color w:val="000000"/>
                <w:kern w:val="0"/>
                <w:sz w:val="24"/>
                <w:szCs w:val="24"/>
                <w:u w:val="none"/>
                <w:lang w:val="en-US" w:eastAsia="zh-CN" w:bidi="ar"/>
              </w:rPr>
              <w:t>范围</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：长800cm</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r>
              <w:rPr>
                <w:rFonts w:hint="eastAsia" w:asciiTheme="minorEastAsia" w:hAnsiTheme="minorEastAsia" w:cstheme="minorEastAsia"/>
                <w:b w:val="0"/>
                <w:bCs w:val="0"/>
                <w:i w:val="0"/>
                <w:iCs w:val="0"/>
                <w:color w:val="000000"/>
                <w:kern w:val="0"/>
                <w:sz w:val="24"/>
                <w:szCs w:val="24"/>
                <w:u w:val="none"/>
                <w:lang w:val="en-US" w:eastAsia="zh-CN" w:bidi="ar"/>
              </w:rPr>
              <w:t>、</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绳索采用ø10mm304不锈钢钢丝绳，采用铝套、卡头单夹等配件进行安装固定。</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r>
              <w:rPr>
                <w:rFonts w:hint="eastAsia" w:asciiTheme="minorEastAsia" w:hAnsiTheme="minorEastAsia" w:cstheme="minorEastAsia"/>
                <w:b w:val="0"/>
                <w:bCs w:val="0"/>
                <w:i w:val="0"/>
                <w:iCs w:val="0"/>
                <w:color w:val="000000"/>
                <w:kern w:val="0"/>
                <w:sz w:val="24"/>
                <w:szCs w:val="24"/>
                <w:u w:val="none"/>
                <w:lang w:val="en-US" w:eastAsia="zh-CN" w:bidi="ar"/>
              </w:rPr>
              <w:t>、</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把手采用橡胶防滑把手，耐磨加厚，韧性优良，防滑静音，不粘手。</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w:t>
            </w:r>
            <w:r>
              <w:rPr>
                <w:rFonts w:hint="eastAsia" w:asciiTheme="minorEastAsia" w:hAnsiTheme="minorEastAsia" w:cstheme="minorEastAsia"/>
                <w:b w:val="0"/>
                <w:bCs w:val="0"/>
                <w:i w:val="0"/>
                <w:iCs w:val="0"/>
                <w:color w:val="000000"/>
                <w:kern w:val="0"/>
                <w:sz w:val="24"/>
                <w:szCs w:val="24"/>
                <w:u w:val="none"/>
                <w:lang w:val="en-US" w:eastAsia="zh-CN" w:bidi="ar"/>
              </w:rPr>
              <w:t>、</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滑轮采用不锈钢轮与滚珠轴承进行制作，采用双轴设计</w:t>
            </w:r>
            <w:r>
              <w:rPr>
                <w:rFonts w:hint="eastAsia" w:asciiTheme="minorEastAsia" w:hAnsiTheme="minorEastAsia" w:cstheme="minorEastAsia"/>
                <w:b w:val="0"/>
                <w:bCs w:val="0"/>
                <w:i w:val="0"/>
                <w:iCs w:val="0"/>
                <w:color w:val="000000"/>
                <w:kern w:val="0"/>
                <w:sz w:val="24"/>
                <w:szCs w:val="24"/>
                <w:u w:val="none"/>
                <w:lang w:val="en-US" w:eastAsia="zh-CN" w:bidi="ar"/>
              </w:rPr>
              <w:t>。</w:t>
            </w:r>
          </w:p>
          <w:p w14:paraId="20F620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w:t>
            </w:r>
            <w:r>
              <w:rPr>
                <w:rFonts w:hint="eastAsia" w:asciiTheme="minorEastAsia" w:hAnsiTheme="minorEastAsia" w:cstheme="minorEastAsia"/>
                <w:b w:val="0"/>
                <w:bCs w:val="0"/>
                <w:i w:val="0"/>
                <w:iCs w:val="0"/>
                <w:color w:val="000000"/>
                <w:kern w:val="0"/>
                <w:sz w:val="24"/>
                <w:szCs w:val="24"/>
                <w:u w:val="none"/>
                <w:lang w:val="en-US" w:eastAsia="zh-CN" w:bidi="ar"/>
              </w:rPr>
              <w:t>、</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五金件整体采用不锈钢半圆头，T型平头螺丝。螺丝、帽套、垫片、链条均采用304不锈钢材质。</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7F4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套</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559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r>
      <w:tr w14:paraId="34230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A7C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D06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圆盘秋千</w:t>
            </w:r>
          </w:p>
        </w:tc>
        <w:tc>
          <w:tcPr>
            <w:tcW w:w="2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20C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产品规格</w:t>
            </w:r>
            <w:r>
              <w:rPr>
                <w:rFonts w:hint="eastAsia" w:asciiTheme="minorEastAsia" w:hAnsiTheme="minorEastAsia" w:cstheme="minorEastAsia"/>
                <w:b w:val="0"/>
                <w:bCs w:val="0"/>
                <w:i w:val="0"/>
                <w:iCs w:val="0"/>
                <w:color w:val="000000"/>
                <w:kern w:val="0"/>
                <w:sz w:val="24"/>
                <w:szCs w:val="24"/>
                <w:u w:val="none"/>
                <w:lang w:val="en-US" w:eastAsia="zh-CN" w:bidi="ar"/>
              </w:rPr>
              <w:t>范围</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：直径</w:t>
            </w:r>
            <w:r>
              <w:rPr>
                <w:rFonts w:hint="eastAsia" w:asciiTheme="minorEastAsia" w:hAnsiTheme="minorEastAsia" w:cstheme="minorEastAsia"/>
                <w:b w:val="0"/>
                <w:bCs w:val="0"/>
                <w:i w:val="0"/>
                <w:iCs w:val="0"/>
                <w:color w:val="000000"/>
                <w:kern w:val="0"/>
                <w:sz w:val="24"/>
                <w:szCs w:val="24"/>
                <w:u w:val="none"/>
                <w:lang w:val="en-US" w:eastAsia="zh-CN" w:bidi="ar"/>
              </w:rPr>
              <w:t>60</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CM</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材质：尼龙编织绳+钢圈</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F33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套</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5635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w:t>
            </w:r>
          </w:p>
        </w:tc>
      </w:tr>
      <w:tr w14:paraId="3F75F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433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B9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爬梯</w:t>
            </w:r>
          </w:p>
        </w:tc>
        <w:tc>
          <w:tcPr>
            <w:tcW w:w="2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EA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五档爬梯,圆棒</w:t>
            </w:r>
            <w:r>
              <w:rPr>
                <w:rFonts w:hint="eastAsia" w:asciiTheme="minorEastAsia" w:hAnsiTheme="minorEastAsia" w:cstheme="minorEastAsia"/>
                <w:b w:val="0"/>
                <w:bCs w:val="0"/>
                <w:i w:val="0"/>
                <w:iCs w:val="0"/>
                <w:color w:val="000000"/>
                <w:kern w:val="0"/>
                <w:sz w:val="24"/>
                <w:szCs w:val="24"/>
                <w:u w:val="none"/>
                <w:lang w:val="en-US" w:eastAsia="zh-CN" w:bidi="ar"/>
              </w:rPr>
              <w:t>：</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40</w:t>
            </w:r>
            <w:r>
              <w:rPr>
                <w:rFonts w:hint="eastAsia" w:asciiTheme="minorEastAsia" w:hAnsiTheme="minorEastAsia" w:cstheme="minorEastAsia"/>
                <w:b w:val="0"/>
                <w:bCs w:val="0"/>
                <w:i w:val="0"/>
                <w:iCs w:val="0"/>
                <w:color w:val="000000"/>
                <w:kern w:val="0"/>
                <w:sz w:val="24"/>
                <w:szCs w:val="24"/>
                <w:u w:val="none"/>
                <w:lang w:val="en-US" w:eastAsia="zh-CN" w:bidi="ar"/>
              </w:rPr>
              <w:t>*</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3.5cm,PH绳,粗10mm,绳长</w:t>
            </w:r>
            <w:r>
              <w:rPr>
                <w:rFonts w:hint="eastAsia" w:asciiTheme="minorEastAsia" w:hAnsiTheme="minorEastAsia" w:cstheme="minorEastAsia"/>
                <w:b w:val="0"/>
                <w:bCs w:val="0"/>
                <w:i w:val="0"/>
                <w:iCs w:val="0"/>
                <w:color w:val="000000"/>
                <w:kern w:val="0"/>
                <w:sz w:val="24"/>
                <w:szCs w:val="24"/>
                <w:u w:val="none"/>
                <w:lang w:val="en-US" w:eastAsia="zh-CN" w:bidi="ar"/>
              </w:rPr>
              <w:t>：</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1.8m</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7C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套</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05E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r>
      <w:tr w14:paraId="63F88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F52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45B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拳击袋</w:t>
            </w:r>
          </w:p>
        </w:tc>
        <w:tc>
          <w:tcPr>
            <w:tcW w:w="2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18E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产品规格</w:t>
            </w:r>
            <w:r>
              <w:rPr>
                <w:rFonts w:hint="eastAsia" w:asciiTheme="minorEastAsia" w:hAnsiTheme="minorEastAsia" w:cstheme="minorEastAsia"/>
                <w:b w:val="0"/>
                <w:bCs w:val="0"/>
                <w:i w:val="0"/>
                <w:iCs w:val="0"/>
                <w:color w:val="000000"/>
                <w:kern w:val="0"/>
                <w:sz w:val="24"/>
                <w:szCs w:val="24"/>
                <w:u w:val="none"/>
                <w:lang w:val="en-US" w:eastAsia="zh-CN" w:bidi="ar"/>
              </w:rPr>
              <w:t>范围</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：直径2CM、长80CM</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材质：外层牛津布+内部木屑</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7727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套</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33B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r>
      <w:tr w14:paraId="0A86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3F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w:t>
            </w:r>
          </w:p>
        </w:tc>
        <w:tc>
          <w:tcPr>
            <w:tcW w:w="7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5E3F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玩沙玩水玩泥巴-绿色搭建</w:t>
            </w:r>
          </w:p>
        </w:tc>
        <w:tc>
          <w:tcPr>
            <w:tcW w:w="27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9B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产品材质：塑料，金属。</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产品配置：19.2*9.6*4.8cm凹形户外硅胶砖100个，19.2*9.6*4.8cm长方形户外硅胶砖100个，16*60cm立柱4根，16*40cm立柱4根，16*20cm立柱4根，16*16cmPVC瓦片100片，45*7.5cmPVC管12根，100*7cmPVC滑道8根，50*7cmPVC滑道8根，直角接头4个，T型接头4个，十字接头4个，波纹管6根，玩具小拖车2个，玩沙模具1套7件，推土车1个，自卸车1个，挖土机1个，冰激凌1套7件，白色漏铲6个，30.5*10cm塑料小铲6个，64*12cm塑料大铲子6个，28*26cm小桶2个，2mm网孔筛子2个，6mm网孔筛子2个，18cm筛板2个，17*31cm塑料水罐2个，17.5cm漏斗2个，大号方盒4个，带孔球10个，雨花石1包，高尔夫球10个，弹力球10个，雨衣4套，折叠收纳拖车2个。总配件数约448件。</w:t>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投标时提供玩沙玩水玩泥巴符合GB6675.1-2014《玩具安全第1部分：基本规范》、GB6675.2-2014《玩具安全第2部分：机械与物理性能》、GB6675.3-2014《玩具安全第3部分：燃烧性能》、GB6675.4-2014《玩具安全第4部分：特定元素的迁移》的检测报告。</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907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套</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1EEA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r>
    </w:tbl>
    <w:p w14:paraId="05319B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sectPr>
      <w:footerReference r:id="rId3" w:type="default"/>
      <w:pgSz w:w="11906" w:h="16838"/>
      <w:pgMar w:top="1134" w:right="1134" w:bottom="1134" w:left="113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252F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3EAF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53EAF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EBE090"/>
    <w:multiLevelType w:val="singleLevel"/>
    <w:tmpl w:val="3DEBE09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5E6264"/>
    <w:rsid w:val="12F47048"/>
    <w:rsid w:val="14840CB7"/>
    <w:rsid w:val="2C58133E"/>
    <w:rsid w:val="2EEF1CFF"/>
    <w:rsid w:val="3CC203DF"/>
    <w:rsid w:val="48AA0AFB"/>
    <w:rsid w:val="4DE93624"/>
    <w:rsid w:val="4FBF6C44"/>
    <w:rsid w:val="512C4DBA"/>
    <w:rsid w:val="525E6264"/>
    <w:rsid w:val="5DD4537C"/>
    <w:rsid w:val="629B2211"/>
    <w:rsid w:val="6A414A75"/>
    <w:rsid w:val="6EB246F8"/>
    <w:rsid w:val="77064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1482</Words>
  <Characters>1908</Characters>
  <Lines>0</Lines>
  <Paragraphs>0</Paragraphs>
  <TotalTime>1</TotalTime>
  <ScaleCrop>false</ScaleCrop>
  <LinksUpToDate>false</LinksUpToDate>
  <CharactersWithSpaces>1911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2025-12-15T10:30:00Z</dcterms:created>
  <dc:creator>阿丹</dc:creator>
  <cp:lastModifiedBy>yuu</cp:lastModifiedBy>
  <dcterms:modified xsi:type="dcterms:W3CDTF">2025-12-25T00:44:24Z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EAFC4DBD2FF84E0798A0DD66DFD5872E_13</vt:lpwstr>
  </property>
  <property fmtid="{D5CDD505-2E9C-101B-9397-08002B2CF9AE}" pid="4" name="KSOTemplateDocerSaveRecord">
    <vt:lpwstr>eyJoZGlkIjoiOTFmZThkZjY0N2JjMzdlMDkwYTljYjAzYTE2N2E1OGUiLCJ1c2VySWQiOiIyMzU2MDczMjkifQ==</vt:lpwstr>
  </property>
</Properties>
</file>