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人文科学学院2022年度</w:t>
      </w:r>
      <w:r>
        <w:rPr>
          <w:rFonts w:hint="eastAsia" w:ascii="方正小标宋简体" w:eastAsia="方正小标宋简体"/>
          <w:sz w:val="44"/>
          <w:szCs w:val="44"/>
        </w:rPr>
        <w:t>科研常规管理备忘录</w:t>
      </w:r>
    </w:p>
    <w:p>
      <w:pPr>
        <w:rPr>
          <w:rFonts w:hint="eastAsia"/>
        </w:rPr>
      </w:pPr>
    </w:p>
    <w:p>
      <w:pPr>
        <w:ind w:firstLine="640" w:firstLineChars="200"/>
        <w:rPr>
          <w:rFonts w:hint="eastAsia" w:ascii="黑体" w:hAnsi="黑体" w:eastAsia="黑体"/>
          <w:sz w:val="32"/>
          <w:szCs w:val="32"/>
        </w:rPr>
      </w:pPr>
      <w:r>
        <w:rPr>
          <w:rFonts w:hint="eastAsia" w:ascii="黑体" w:hAnsi="黑体" w:eastAsia="黑体"/>
          <w:sz w:val="32"/>
          <w:szCs w:val="32"/>
        </w:rPr>
        <w:t>1.科研项目申报审核要点</w:t>
      </w:r>
    </w:p>
    <w:p>
      <w:pPr>
        <w:numPr>
          <w:ilvl w:val="0"/>
          <w:numId w:val="0"/>
        </w:num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（1）发表的有关论文须为正规期刊。</w:t>
      </w:r>
    </w:p>
    <w:p>
      <w:pPr>
        <w:numPr>
          <w:ilvl w:val="0"/>
          <w:numId w:val="0"/>
        </w:num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（2）应按规定标注基金号如：“本文系福建幼儿师范高等专科学校基金项目“*******”（项目批准号：*******）的成果”。</w:t>
      </w:r>
    </w:p>
    <w:p>
      <w:pPr>
        <w:numPr>
          <w:ilvl w:val="0"/>
          <w:numId w:val="0"/>
        </w:num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（3）未按规定标注的或多家注明课题发布机构的成果不能作为结题材料。</w:t>
      </w:r>
    </w:p>
    <w:p>
      <w:pPr>
        <w:numPr>
          <w:ilvl w:val="0"/>
          <w:numId w:val="0"/>
        </w:num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（4）结题时提交的论文和专著发表或出版时间、专利受理或授权时间应在计划项目正式立项之后。</w:t>
      </w:r>
    </w:p>
    <w:p>
      <w:pPr>
        <w:numPr>
          <w:ilvl w:val="0"/>
          <w:numId w:val="0"/>
        </w:num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（5）推荐项目的时候注意和往年立项项目的查重，对于重复、多头申报的项目，形式审查中一经发现，将直接不予通过。</w:t>
      </w:r>
    </w:p>
    <w:p>
      <w:pPr>
        <w:ind w:firstLine="640" w:firstLineChars="200"/>
        <w:rPr>
          <w:rFonts w:hint="eastAsia" w:ascii="黑体" w:hAnsi="黑体" w:eastAsia="黑体"/>
          <w:sz w:val="32"/>
          <w:szCs w:val="32"/>
        </w:rPr>
      </w:pPr>
      <w:r>
        <w:rPr>
          <w:rFonts w:hint="eastAsia" w:ascii="黑体" w:hAnsi="黑体" w:eastAsia="黑体"/>
          <w:sz w:val="32"/>
          <w:szCs w:val="32"/>
        </w:rPr>
        <w:t>2.各类常规科研项目清理期</w:t>
      </w:r>
    </w:p>
    <w:p>
      <w:pPr>
        <w:numPr>
          <w:ilvl w:val="0"/>
          <w:numId w:val="0"/>
        </w:num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（1）省社会科学规划项目清理期为3年（自立项通知下达的立项日期起算）</w:t>
      </w:r>
    </w:p>
    <w:p>
      <w:pPr>
        <w:numPr>
          <w:ilvl w:val="0"/>
          <w:numId w:val="0"/>
        </w:numPr>
        <w:ind w:firstLine="640" w:firstLineChars="200"/>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 (2)</w:t>
      </w:r>
      <w:r>
        <w:rPr>
          <w:rFonts w:hint="eastAsia" w:ascii="楷体" w:hAnsi="楷体" w:eastAsia="楷体" w:cs="楷体"/>
          <w:b/>
          <w:bCs/>
          <w:color w:val="auto"/>
          <w:sz w:val="32"/>
          <w:szCs w:val="32"/>
          <w:lang w:val="en-US" w:eastAsia="zh-CN"/>
        </w:rPr>
        <w:t>教育厅思政处</w:t>
      </w:r>
      <w:r>
        <w:rPr>
          <w:rFonts w:hint="eastAsia" w:ascii="楷体" w:hAnsi="楷体" w:eastAsia="楷体" w:cs="楷体"/>
          <w:color w:val="auto"/>
          <w:sz w:val="32"/>
          <w:szCs w:val="32"/>
          <w:lang w:val="en-US" w:eastAsia="zh-CN"/>
        </w:rPr>
        <w:t>立项的福建省高校哲学社会科学研究项目（2019年及之后立项的社科类项目）清理期为3年（自立项通知下达的立项日期起算）</w:t>
      </w:r>
    </w:p>
    <w:p>
      <w:pPr>
        <w:numPr>
          <w:ilvl w:val="0"/>
          <w:numId w:val="0"/>
        </w:num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（3）</w:t>
      </w:r>
      <w:r>
        <w:rPr>
          <w:rFonts w:hint="eastAsia" w:ascii="楷体" w:hAnsi="楷体" w:eastAsia="楷体" w:cs="楷体"/>
          <w:b/>
          <w:bCs/>
          <w:color w:val="auto"/>
          <w:sz w:val="32"/>
          <w:szCs w:val="32"/>
          <w:lang w:val="en-US" w:eastAsia="zh-CN"/>
        </w:rPr>
        <w:t>教育厅科技处</w:t>
      </w:r>
      <w:r>
        <w:rPr>
          <w:rFonts w:hint="eastAsia" w:ascii="楷体" w:hAnsi="楷体" w:eastAsia="楷体" w:cs="楷体"/>
          <w:color w:val="auto"/>
          <w:sz w:val="32"/>
          <w:szCs w:val="32"/>
          <w:lang w:val="en-US" w:eastAsia="zh-CN"/>
        </w:rPr>
        <w:t>立项的福建省教育厅中青年教师教育科技类科研项目（含2017、2018年立项的社科类项目）清理期4年（自立项通知下达的立项日期起算）</w:t>
      </w:r>
    </w:p>
    <w:p>
      <w:pPr>
        <w:numPr>
          <w:ilvl w:val="0"/>
          <w:numId w:val="0"/>
        </w:num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（4）校级项目清理期为3年（自立项通知下达的立项日期起算）</w:t>
      </w:r>
    </w:p>
    <w:p>
      <w:pPr>
        <w:numPr>
          <w:ilvl w:val="0"/>
          <w:numId w:val="0"/>
        </w:num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能够在清理期内完成的项目不再需要提交延期申请，逾期无法完成的将视为自动撤项。</w:t>
      </w:r>
    </w:p>
    <w:p>
      <w:pPr>
        <w:numPr>
          <w:ilvl w:val="0"/>
          <w:numId w:val="0"/>
        </w:numPr>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3.</w:t>
      </w:r>
      <w:r>
        <w:rPr>
          <w:rFonts w:hint="eastAsia" w:ascii="黑体" w:hAnsi="黑体" w:eastAsia="黑体"/>
          <w:sz w:val="32"/>
          <w:szCs w:val="32"/>
        </w:rPr>
        <w:t>科研经费报销流程</w:t>
      </w:r>
      <w:r>
        <w:rPr>
          <w:rFonts w:hint="eastAsia" w:ascii="黑体" w:hAnsi="黑体" w:eastAsia="黑体"/>
          <w:sz w:val="32"/>
          <w:szCs w:val="32"/>
          <w:lang w:val="en-US" w:eastAsia="zh-CN"/>
        </w:rPr>
        <w:t>:</w:t>
      </w:r>
    </w:p>
    <w:p>
      <w:pPr>
        <w:numPr>
          <w:ilvl w:val="0"/>
          <w:numId w:val="0"/>
        </w:num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教师本人登录科研系统</w:t>
      </w:r>
      <w:r>
        <w:rPr>
          <w:rFonts w:hint="default" w:ascii="楷体" w:hAnsi="楷体" w:eastAsia="楷体" w:cs="楷体"/>
          <w:color w:val="auto"/>
          <w:sz w:val="32"/>
          <w:szCs w:val="32"/>
          <w:lang w:val="en-US" w:eastAsia="zh-CN"/>
        </w:rPr>
        <w:t>→</w:t>
      </w:r>
      <w:r>
        <w:rPr>
          <w:rFonts w:hint="eastAsia" w:ascii="楷体" w:hAnsi="楷体" w:eastAsia="楷体" w:cs="楷体"/>
          <w:color w:val="auto"/>
          <w:sz w:val="32"/>
          <w:szCs w:val="32"/>
          <w:lang w:val="en-US" w:eastAsia="zh-CN"/>
        </w:rPr>
        <w:t>填写报销金额</w:t>
      </w:r>
      <w:r>
        <w:rPr>
          <w:rFonts w:hint="default" w:ascii="楷体" w:hAnsi="楷体" w:eastAsia="楷体" w:cs="楷体"/>
          <w:color w:val="auto"/>
          <w:sz w:val="32"/>
          <w:szCs w:val="32"/>
          <w:lang w:val="en-US" w:eastAsia="zh-CN"/>
        </w:rPr>
        <w:t>→</w:t>
      </w:r>
      <w:r>
        <w:rPr>
          <w:rFonts w:hint="eastAsia" w:ascii="楷体" w:hAnsi="楷体" w:eastAsia="楷体" w:cs="楷体"/>
          <w:color w:val="auto"/>
          <w:sz w:val="32"/>
          <w:szCs w:val="32"/>
          <w:lang w:val="en-US" w:eastAsia="zh-CN"/>
        </w:rPr>
        <w:t>导出经费报销表</w:t>
      </w:r>
      <w:r>
        <w:rPr>
          <w:rFonts w:hint="default" w:ascii="楷体" w:hAnsi="楷体" w:eastAsia="楷体" w:cs="楷体"/>
          <w:color w:val="auto"/>
          <w:sz w:val="32"/>
          <w:szCs w:val="32"/>
          <w:lang w:val="en-US" w:eastAsia="zh-CN"/>
        </w:rPr>
        <w:t>→</w:t>
      </w:r>
      <w:r>
        <w:rPr>
          <w:rFonts w:hint="eastAsia" w:ascii="楷体" w:hAnsi="楷体" w:eastAsia="楷体" w:cs="楷体"/>
          <w:color w:val="auto"/>
          <w:sz w:val="32"/>
          <w:szCs w:val="32"/>
          <w:lang w:val="en-US" w:eastAsia="zh-CN"/>
        </w:rPr>
        <w:t>分管科研主任审批</w:t>
      </w:r>
      <w:r>
        <w:rPr>
          <w:rFonts w:hint="default" w:ascii="楷体" w:hAnsi="楷体" w:eastAsia="楷体" w:cs="楷体"/>
          <w:color w:val="auto"/>
          <w:sz w:val="32"/>
          <w:szCs w:val="32"/>
          <w:lang w:val="en-US" w:eastAsia="zh-CN"/>
        </w:rPr>
        <w:t>→</w:t>
      </w:r>
      <w:r>
        <w:rPr>
          <w:rFonts w:hint="eastAsia" w:ascii="楷体" w:hAnsi="楷体" w:eastAsia="楷体" w:cs="楷体"/>
          <w:color w:val="auto"/>
          <w:sz w:val="32"/>
          <w:szCs w:val="32"/>
          <w:lang w:val="en-US" w:eastAsia="zh-CN"/>
        </w:rPr>
        <w:t>财务科宇凌老师审核</w:t>
      </w:r>
      <w:r>
        <w:rPr>
          <w:rFonts w:hint="default" w:ascii="楷体" w:hAnsi="楷体" w:eastAsia="楷体" w:cs="楷体"/>
          <w:color w:val="auto"/>
          <w:sz w:val="32"/>
          <w:szCs w:val="32"/>
          <w:lang w:val="en-US" w:eastAsia="zh-CN"/>
        </w:rPr>
        <w:t>→</w:t>
      </w:r>
      <w:r>
        <w:rPr>
          <w:rFonts w:hint="eastAsia" w:ascii="楷体" w:hAnsi="楷体" w:eastAsia="楷体" w:cs="楷体"/>
          <w:color w:val="auto"/>
          <w:sz w:val="32"/>
          <w:szCs w:val="32"/>
          <w:lang w:val="en-US" w:eastAsia="zh-CN"/>
        </w:rPr>
        <w:t>科研处处长审批</w:t>
      </w:r>
      <w:r>
        <w:rPr>
          <w:rFonts w:hint="default" w:ascii="楷体" w:hAnsi="楷体" w:eastAsia="楷体" w:cs="楷体"/>
          <w:color w:val="auto"/>
          <w:sz w:val="32"/>
          <w:szCs w:val="32"/>
          <w:lang w:val="en-US" w:eastAsia="zh-CN"/>
        </w:rPr>
        <w:t>→</w:t>
      </w:r>
      <w:r>
        <w:rPr>
          <w:rFonts w:hint="eastAsia" w:ascii="楷体" w:hAnsi="楷体" w:eastAsia="楷体" w:cs="楷体"/>
          <w:color w:val="auto"/>
          <w:sz w:val="32"/>
          <w:szCs w:val="32"/>
          <w:lang w:val="en-US" w:eastAsia="zh-CN"/>
        </w:rPr>
        <w:t>交财务科报账</w:t>
      </w:r>
    </w:p>
    <w:p>
      <w:pPr>
        <w:numPr>
          <w:ilvl w:val="0"/>
          <w:numId w:val="0"/>
        </w:numPr>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4.各级各类课题结项时须在学校科研系统办理结项</w:t>
      </w:r>
    </w:p>
    <w:p>
      <w:pPr>
        <w:numPr>
          <w:ilvl w:val="0"/>
          <w:numId w:val="0"/>
        </w:num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各项目负责人及时完成学校科研管理系统结题登记流程。登录系统首页</w:t>
      </w:r>
      <w:r>
        <w:rPr>
          <w:rFonts w:hint="default" w:ascii="楷体" w:hAnsi="楷体" w:eastAsia="楷体" w:cs="楷体"/>
          <w:color w:val="auto"/>
          <w:sz w:val="32"/>
          <w:szCs w:val="32"/>
          <w:lang w:val="en-US" w:eastAsia="zh-CN"/>
        </w:rPr>
        <w:t>→</w:t>
      </w:r>
      <w:r>
        <w:rPr>
          <w:rFonts w:hint="eastAsia" w:ascii="楷体" w:hAnsi="楷体" w:eastAsia="楷体" w:cs="楷体"/>
          <w:color w:val="auto"/>
          <w:sz w:val="32"/>
          <w:szCs w:val="32"/>
          <w:lang w:val="en-US" w:eastAsia="zh-CN"/>
        </w:rPr>
        <w:t>科研项目</w:t>
      </w:r>
      <w:r>
        <w:rPr>
          <w:rFonts w:hint="default" w:ascii="楷体" w:hAnsi="楷体" w:eastAsia="楷体" w:cs="楷体"/>
          <w:color w:val="auto"/>
          <w:sz w:val="32"/>
          <w:szCs w:val="32"/>
          <w:lang w:val="en-US" w:eastAsia="zh-CN"/>
        </w:rPr>
        <w:t>→</w:t>
      </w:r>
      <w:r>
        <w:rPr>
          <w:rFonts w:hint="eastAsia" w:ascii="楷体" w:hAnsi="楷体" w:eastAsia="楷体" w:cs="楷体"/>
          <w:color w:val="auto"/>
          <w:sz w:val="32"/>
          <w:szCs w:val="32"/>
          <w:lang w:val="en-US" w:eastAsia="zh-CN"/>
        </w:rPr>
        <w:t>项目列表</w:t>
      </w:r>
      <w:r>
        <w:rPr>
          <w:rFonts w:hint="default" w:ascii="楷体" w:hAnsi="楷体" w:eastAsia="楷体" w:cs="楷体"/>
          <w:color w:val="auto"/>
          <w:sz w:val="32"/>
          <w:szCs w:val="32"/>
          <w:lang w:val="en-US" w:eastAsia="zh-CN"/>
        </w:rPr>
        <w:t>→</w:t>
      </w:r>
      <w:r>
        <w:rPr>
          <w:rFonts w:hint="eastAsia" w:ascii="楷体" w:hAnsi="楷体" w:eastAsia="楷体" w:cs="楷体"/>
          <w:color w:val="auto"/>
          <w:sz w:val="32"/>
          <w:szCs w:val="32"/>
          <w:lang w:val="en-US" w:eastAsia="zh-CN"/>
        </w:rPr>
        <w:t>办理业务</w:t>
      </w:r>
      <w:r>
        <w:rPr>
          <w:rFonts w:hint="default" w:ascii="楷体" w:hAnsi="楷体" w:eastAsia="楷体" w:cs="楷体"/>
          <w:color w:val="auto"/>
          <w:sz w:val="32"/>
          <w:szCs w:val="32"/>
          <w:lang w:val="en-US" w:eastAsia="zh-CN"/>
        </w:rPr>
        <w:t>→</w:t>
      </w:r>
      <w:r>
        <w:rPr>
          <w:rFonts w:hint="eastAsia" w:ascii="楷体" w:hAnsi="楷体" w:eastAsia="楷体" w:cs="楷体"/>
          <w:color w:val="auto"/>
          <w:sz w:val="32"/>
          <w:szCs w:val="32"/>
          <w:lang w:val="en-US" w:eastAsia="zh-CN"/>
        </w:rPr>
        <w:t>上传项目申报书</w:t>
      </w:r>
      <w:r>
        <w:rPr>
          <w:rFonts w:hint="default" w:ascii="楷体" w:hAnsi="楷体" w:eastAsia="楷体" w:cs="楷体"/>
          <w:color w:val="auto"/>
          <w:sz w:val="32"/>
          <w:szCs w:val="32"/>
          <w:lang w:val="en-US" w:eastAsia="zh-CN"/>
        </w:rPr>
        <w:t>→</w:t>
      </w:r>
      <w:r>
        <w:rPr>
          <w:rFonts w:hint="eastAsia" w:ascii="楷体" w:hAnsi="楷体" w:eastAsia="楷体" w:cs="楷体"/>
          <w:color w:val="auto"/>
          <w:sz w:val="32"/>
          <w:szCs w:val="32"/>
          <w:lang w:val="en-US" w:eastAsia="zh-CN"/>
        </w:rPr>
        <w:t>提交结项报告</w:t>
      </w:r>
      <w:r>
        <w:rPr>
          <w:rFonts w:hint="default" w:ascii="楷体" w:hAnsi="楷体" w:eastAsia="楷体" w:cs="楷体"/>
          <w:color w:val="auto"/>
          <w:sz w:val="32"/>
          <w:szCs w:val="32"/>
          <w:lang w:val="en-US" w:eastAsia="zh-CN"/>
        </w:rPr>
        <w:t>→</w:t>
      </w:r>
      <w:r>
        <w:rPr>
          <w:rFonts w:hint="eastAsia" w:ascii="楷体" w:hAnsi="楷体" w:eastAsia="楷体" w:cs="楷体"/>
          <w:color w:val="auto"/>
          <w:sz w:val="32"/>
          <w:szCs w:val="32"/>
          <w:lang w:val="en-US" w:eastAsia="zh-CN"/>
        </w:rPr>
        <w:t>通知学院秘书审核，学院审核后通知科研处审核，完成学校系统结题登记工作，系统状态才会变更为已结题项目，如未及时处理将会影响后续的职称评聘中的科研成果认定时间。请各位老师务必高度重视。</w:t>
      </w:r>
    </w:p>
    <w:p/>
    <w:p>
      <w:r>
        <w:drawing>
          <wp:inline distT="0" distB="0" distL="0" distR="0">
            <wp:extent cx="2606040" cy="1466215"/>
            <wp:effectExtent l="0" t="0" r="381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srcRect/>
                    <a:stretch>
                      <a:fillRect/>
                    </a:stretch>
                  </pic:blipFill>
                  <pic:spPr>
                    <a:xfrm>
                      <a:off x="0" y="0"/>
                      <a:ext cx="2606040" cy="1466215"/>
                    </a:xfrm>
                    <a:prstGeom prst="rect">
                      <a:avLst/>
                    </a:prstGeom>
                    <a:noFill/>
                    <a:ln w="9525">
                      <a:noFill/>
                      <a:miter lim="800000"/>
                      <a:headEnd/>
                      <a:tailEnd/>
                    </a:ln>
                  </pic:spPr>
                </pic:pic>
              </a:graphicData>
            </a:graphic>
          </wp:inline>
        </w:drawing>
      </w:r>
      <w:r>
        <w:rPr>
          <w:rFonts w:hint="eastAsia"/>
          <w:lang w:val="en-US" w:eastAsia="zh-CN"/>
        </w:rPr>
        <w:t xml:space="preserve">       </w:t>
      </w:r>
      <w:r>
        <w:drawing>
          <wp:inline distT="0" distB="0" distL="114300" distR="114300">
            <wp:extent cx="2552065" cy="1435735"/>
            <wp:effectExtent l="0" t="0" r="635" b="1206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2552065" cy="1435735"/>
                    </a:xfrm>
                    <a:prstGeom prst="rect">
                      <a:avLst/>
                    </a:prstGeom>
                    <a:noFill/>
                    <a:ln>
                      <a:noFill/>
                    </a:ln>
                  </pic:spPr>
                </pic:pic>
              </a:graphicData>
            </a:graphic>
          </wp:inline>
        </w:drawing>
      </w:r>
    </w:p>
    <w:p>
      <w:pPr>
        <w:pStyle w:val="2"/>
        <w:rPr>
          <w:rFonts w:hint="eastAsia"/>
          <w:lang w:val="en-US" w:eastAsia="zh-CN"/>
        </w:rPr>
      </w:pPr>
    </w:p>
    <w:p>
      <w:pPr>
        <w:numPr>
          <w:ilvl w:val="0"/>
          <w:numId w:val="0"/>
        </w:numPr>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5.2021年科研经费审计反馈问题</w:t>
      </w:r>
    </w:p>
    <w:p>
      <w:pPr>
        <w:numPr>
          <w:ilvl w:val="0"/>
          <w:numId w:val="0"/>
        </w:num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（1）报科研课题其他交通费，后附市民卡预充值，无法据实体现交通费的真实使用情况。</w:t>
      </w:r>
    </w:p>
    <w:p>
      <w:pPr>
        <w:numPr>
          <w:ilvl w:val="0"/>
          <w:numId w:val="0"/>
        </w:num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（2）购进项目所需的消耗材料、试剂等物品应由保管员签字后方能报销。</w:t>
      </w:r>
    </w:p>
    <w:p>
      <w:pPr>
        <w:numPr>
          <w:ilvl w:val="0"/>
          <w:numId w:val="0"/>
        </w:numPr>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6.常规课题结项时间一览表</w:t>
      </w: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5006"/>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675" w:type="dxa"/>
            <w:vAlign w:val="center"/>
          </w:tcPr>
          <w:p>
            <w:pPr>
              <w:keepNext w:val="0"/>
              <w:keepLines w:val="0"/>
              <w:suppressLineNumbers w:val="0"/>
              <w:spacing w:before="0" w:beforeAutospacing="0" w:after="0" w:afterAutospacing="0"/>
              <w:ind w:left="0" w:right="0"/>
              <w:jc w:val="center"/>
              <w:rPr>
                <w:rFonts w:hint="default"/>
                <w:b/>
                <w:szCs w:val="21"/>
              </w:rPr>
            </w:pPr>
            <w:r>
              <w:rPr>
                <w:rFonts w:hint="eastAsia"/>
                <w:b/>
                <w:szCs w:val="21"/>
              </w:rPr>
              <w:t>序号</w:t>
            </w:r>
          </w:p>
        </w:tc>
        <w:tc>
          <w:tcPr>
            <w:tcW w:w="5006" w:type="dxa"/>
            <w:vAlign w:val="center"/>
          </w:tcPr>
          <w:p>
            <w:pPr>
              <w:keepNext w:val="0"/>
              <w:keepLines w:val="0"/>
              <w:suppressLineNumbers w:val="0"/>
              <w:spacing w:before="0" w:beforeAutospacing="0" w:after="0" w:afterAutospacing="0"/>
              <w:ind w:left="0" w:right="0"/>
              <w:jc w:val="center"/>
              <w:rPr>
                <w:rFonts w:hint="default"/>
                <w:b/>
                <w:szCs w:val="21"/>
              </w:rPr>
            </w:pPr>
            <w:r>
              <w:rPr>
                <w:rFonts w:hint="eastAsia"/>
                <w:b/>
                <w:szCs w:val="21"/>
              </w:rPr>
              <w:t>科研项目</w:t>
            </w:r>
          </w:p>
        </w:tc>
        <w:tc>
          <w:tcPr>
            <w:tcW w:w="2841" w:type="dxa"/>
            <w:vAlign w:val="center"/>
          </w:tcPr>
          <w:p>
            <w:pPr>
              <w:keepNext w:val="0"/>
              <w:keepLines w:val="0"/>
              <w:suppressLineNumbers w:val="0"/>
              <w:spacing w:before="0" w:beforeAutospacing="0" w:after="0" w:afterAutospacing="0"/>
              <w:ind w:left="0" w:right="0"/>
              <w:jc w:val="center"/>
              <w:rPr>
                <w:rFonts w:hint="default"/>
                <w:b/>
                <w:szCs w:val="21"/>
              </w:rPr>
            </w:pPr>
            <w:r>
              <w:rPr>
                <w:rFonts w:hint="eastAsia"/>
                <w:b/>
                <w:szCs w:val="21"/>
              </w:rPr>
              <w:t>结项时间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675" w:type="dxa"/>
            <w:vAlign w:val="center"/>
          </w:tcPr>
          <w:p>
            <w:pPr>
              <w:keepNext w:val="0"/>
              <w:keepLines w:val="0"/>
              <w:suppressLineNumbers w:val="0"/>
              <w:spacing w:before="0" w:beforeAutospacing="0" w:after="0" w:afterAutospacing="0"/>
              <w:ind w:left="0" w:right="0"/>
              <w:jc w:val="center"/>
              <w:rPr>
                <w:rFonts w:hint="default"/>
              </w:rPr>
            </w:pPr>
            <w:r>
              <w:rPr>
                <w:rFonts w:hint="eastAsia"/>
              </w:rPr>
              <w:t>1</w:t>
            </w:r>
          </w:p>
        </w:tc>
        <w:tc>
          <w:tcPr>
            <w:tcW w:w="5006" w:type="dxa"/>
            <w:vAlign w:val="center"/>
          </w:tcPr>
          <w:p>
            <w:pPr>
              <w:keepNext w:val="0"/>
              <w:keepLines w:val="0"/>
              <w:suppressLineNumbers w:val="0"/>
              <w:spacing w:before="0" w:beforeAutospacing="0" w:after="0" w:afterAutospacing="0"/>
              <w:ind w:left="0" w:right="0"/>
              <w:jc w:val="center"/>
              <w:rPr>
                <w:rFonts w:hint="default"/>
              </w:rPr>
            </w:pPr>
            <w:r>
              <w:rPr>
                <w:rFonts w:hint="eastAsia"/>
              </w:rPr>
              <w:t>福建省教育厅中青年科研项目（2019年及以后立项社科类项目）</w:t>
            </w:r>
          </w:p>
        </w:tc>
        <w:tc>
          <w:tcPr>
            <w:tcW w:w="2841" w:type="dxa"/>
            <w:vAlign w:val="center"/>
          </w:tcPr>
          <w:p>
            <w:pPr>
              <w:keepNext w:val="0"/>
              <w:keepLines w:val="0"/>
              <w:suppressLineNumbers w:val="0"/>
              <w:spacing w:before="0" w:beforeAutospacing="0" w:after="0" w:afterAutospacing="0"/>
              <w:ind w:left="0" w:right="0"/>
              <w:jc w:val="center"/>
              <w:rPr>
                <w:rFonts w:hint="default" w:eastAsiaTheme="minorEastAsia"/>
                <w:lang w:val="en-US" w:eastAsia="zh-CN"/>
              </w:rPr>
            </w:pPr>
            <w:r>
              <w:rPr>
                <w:rFonts w:hint="eastAsia"/>
              </w:rPr>
              <w:t>每年</w:t>
            </w:r>
            <w:r>
              <w:rPr>
                <w:rFonts w:hint="eastAsia"/>
                <w:lang w:val="en-US" w:eastAsia="zh-CN"/>
              </w:rPr>
              <w:t>5月20日</w:t>
            </w:r>
            <w:r>
              <w:rPr>
                <w:rFonts w:hint="eastAsia"/>
                <w:lang w:eastAsia="zh-CN"/>
              </w:rPr>
              <w:t>，</w:t>
            </w:r>
            <w:r>
              <w:rPr>
                <w:rFonts w:hint="eastAsia"/>
                <w:lang w:val="en-US" w:eastAsia="zh-CN"/>
              </w:rPr>
              <w:t>10月15日前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675" w:type="dxa"/>
            <w:vAlign w:val="center"/>
          </w:tcPr>
          <w:p>
            <w:pPr>
              <w:keepNext w:val="0"/>
              <w:keepLines w:val="0"/>
              <w:suppressLineNumbers w:val="0"/>
              <w:spacing w:before="0" w:beforeAutospacing="0" w:after="0" w:afterAutospacing="0"/>
              <w:ind w:left="0" w:right="0"/>
              <w:jc w:val="center"/>
              <w:rPr>
                <w:rFonts w:hint="default"/>
              </w:rPr>
            </w:pPr>
            <w:r>
              <w:rPr>
                <w:rFonts w:hint="eastAsia"/>
              </w:rPr>
              <w:t>2</w:t>
            </w:r>
          </w:p>
        </w:tc>
        <w:tc>
          <w:tcPr>
            <w:tcW w:w="5006" w:type="dxa"/>
            <w:vAlign w:val="center"/>
          </w:tcPr>
          <w:p>
            <w:pPr>
              <w:keepNext w:val="0"/>
              <w:keepLines w:val="0"/>
              <w:suppressLineNumbers w:val="0"/>
              <w:spacing w:before="0" w:beforeAutospacing="0" w:after="0" w:afterAutospacing="0"/>
              <w:ind w:left="0" w:right="0"/>
              <w:jc w:val="center"/>
              <w:rPr>
                <w:rFonts w:hint="default"/>
              </w:rPr>
            </w:pPr>
            <w:r>
              <w:rPr>
                <w:rFonts w:hint="eastAsia"/>
              </w:rPr>
              <w:t>福建省社会科学规划项目</w:t>
            </w:r>
          </w:p>
        </w:tc>
        <w:tc>
          <w:tcPr>
            <w:tcW w:w="2841" w:type="dxa"/>
            <w:vAlign w:val="center"/>
          </w:tcPr>
          <w:p>
            <w:pPr>
              <w:keepNext w:val="0"/>
              <w:keepLines w:val="0"/>
              <w:suppressLineNumbers w:val="0"/>
              <w:spacing w:before="0" w:beforeAutospacing="0" w:after="0" w:afterAutospacing="0"/>
              <w:ind w:left="0" w:right="0"/>
              <w:jc w:val="center"/>
              <w:rPr>
                <w:rFonts w:hint="default"/>
              </w:rPr>
            </w:pPr>
            <w:r>
              <w:rPr>
                <w:rFonts w:hint="eastAsia"/>
              </w:rPr>
              <w:t>每年3月</w:t>
            </w:r>
            <w:r>
              <w:rPr>
                <w:rFonts w:hint="eastAsia"/>
                <w:lang w:val="en-US" w:eastAsia="zh-CN"/>
              </w:rPr>
              <w:t>1</w:t>
            </w:r>
            <w:r>
              <w:rPr>
                <w:rFonts w:hint="eastAsia"/>
              </w:rPr>
              <w:t>日、7月</w:t>
            </w:r>
            <w:r>
              <w:rPr>
                <w:rFonts w:hint="eastAsia"/>
                <w:lang w:val="en-US" w:eastAsia="zh-CN"/>
              </w:rPr>
              <w:t>1</w:t>
            </w:r>
            <w:r>
              <w:rPr>
                <w:rFonts w:hint="eastAsia"/>
              </w:rPr>
              <w:t>日、11月</w:t>
            </w:r>
            <w:r>
              <w:rPr>
                <w:rFonts w:hint="eastAsia"/>
                <w:lang w:val="en-US" w:eastAsia="zh-CN"/>
              </w:rPr>
              <w:t>1</w:t>
            </w:r>
            <w:r>
              <w:rPr>
                <w:rFonts w:hint="eastAsia"/>
              </w:rPr>
              <w:t>日前，不再另行通知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675" w:type="dxa"/>
            <w:vAlign w:val="center"/>
          </w:tcPr>
          <w:p>
            <w:pPr>
              <w:keepNext w:val="0"/>
              <w:keepLines w:val="0"/>
              <w:suppressLineNumbers w:val="0"/>
              <w:spacing w:before="0" w:beforeAutospacing="0" w:after="0" w:afterAutospacing="0"/>
              <w:ind w:left="0" w:right="0"/>
              <w:jc w:val="center"/>
              <w:rPr>
                <w:rFonts w:hint="default"/>
              </w:rPr>
            </w:pPr>
            <w:r>
              <w:rPr>
                <w:rFonts w:hint="eastAsia"/>
              </w:rPr>
              <w:t>3</w:t>
            </w:r>
          </w:p>
        </w:tc>
        <w:tc>
          <w:tcPr>
            <w:tcW w:w="5006" w:type="dxa"/>
            <w:vAlign w:val="center"/>
          </w:tcPr>
          <w:p>
            <w:pPr>
              <w:keepNext w:val="0"/>
              <w:keepLines w:val="0"/>
              <w:suppressLineNumbers w:val="0"/>
              <w:spacing w:before="0" w:beforeAutospacing="0" w:after="0" w:afterAutospacing="0"/>
              <w:ind w:left="0" w:right="0"/>
              <w:jc w:val="center"/>
              <w:rPr>
                <w:rFonts w:hint="default"/>
              </w:rPr>
            </w:pPr>
            <w:r>
              <w:rPr>
                <w:rFonts w:hint="eastAsia"/>
              </w:rPr>
              <w:t>福建省教育规划科学项目</w:t>
            </w:r>
          </w:p>
        </w:tc>
        <w:tc>
          <w:tcPr>
            <w:tcW w:w="2841" w:type="dxa"/>
            <w:vAlign w:val="center"/>
          </w:tcPr>
          <w:p>
            <w:pPr>
              <w:keepNext w:val="0"/>
              <w:keepLines w:val="0"/>
              <w:suppressLineNumbers w:val="0"/>
              <w:spacing w:before="0" w:beforeAutospacing="0" w:after="0" w:afterAutospacing="0"/>
              <w:ind w:left="0" w:right="0"/>
              <w:jc w:val="center"/>
              <w:rPr>
                <w:rFonts w:hint="default"/>
              </w:rPr>
            </w:pPr>
            <w:r>
              <w:rPr>
                <w:rFonts w:hint="eastAsia"/>
              </w:rPr>
              <w:t>学校下发通知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675" w:type="dxa"/>
            <w:vAlign w:val="center"/>
          </w:tcPr>
          <w:p>
            <w:pPr>
              <w:keepNext w:val="0"/>
              <w:keepLines w:val="0"/>
              <w:suppressLineNumbers w:val="0"/>
              <w:spacing w:before="0" w:beforeAutospacing="0" w:after="0" w:afterAutospacing="0"/>
              <w:ind w:left="0" w:right="0"/>
              <w:jc w:val="center"/>
              <w:rPr>
                <w:rFonts w:hint="default"/>
              </w:rPr>
            </w:pPr>
            <w:r>
              <w:rPr>
                <w:rFonts w:hint="eastAsia"/>
              </w:rPr>
              <w:t>4</w:t>
            </w:r>
          </w:p>
        </w:tc>
        <w:tc>
          <w:tcPr>
            <w:tcW w:w="5006" w:type="dxa"/>
            <w:vAlign w:val="center"/>
          </w:tcPr>
          <w:p>
            <w:pPr>
              <w:keepNext w:val="0"/>
              <w:keepLines w:val="0"/>
              <w:suppressLineNumbers w:val="0"/>
              <w:spacing w:before="0" w:beforeAutospacing="0" w:after="0" w:afterAutospacing="0"/>
              <w:ind w:left="0" w:right="0"/>
              <w:jc w:val="center"/>
              <w:rPr>
                <w:rFonts w:hint="default"/>
              </w:rPr>
            </w:pPr>
            <w:r>
              <w:rPr>
                <w:rFonts w:hint="eastAsia"/>
              </w:rPr>
              <w:t>福建省教育厅中青年科研项目（科技类项目、2019年以前立项的社科类项目）</w:t>
            </w:r>
          </w:p>
        </w:tc>
        <w:tc>
          <w:tcPr>
            <w:tcW w:w="2841" w:type="dxa"/>
            <w:vAlign w:val="center"/>
          </w:tcPr>
          <w:p>
            <w:pPr>
              <w:keepNext w:val="0"/>
              <w:keepLines w:val="0"/>
              <w:suppressLineNumbers w:val="0"/>
              <w:spacing w:before="0" w:beforeAutospacing="0" w:after="0" w:afterAutospacing="0"/>
              <w:ind w:left="0" w:right="0"/>
              <w:jc w:val="center"/>
              <w:rPr>
                <w:rFonts w:hint="default"/>
              </w:rPr>
            </w:pPr>
            <w:r>
              <w:rPr>
                <w:rFonts w:hint="eastAsia"/>
              </w:rPr>
              <w:t>学校下发通知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675" w:type="dxa"/>
            <w:vAlign w:val="center"/>
          </w:tcPr>
          <w:p>
            <w:pPr>
              <w:keepNext w:val="0"/>
              <w:keepLines w:val="0"/>
              <w:suppressLineNumbers w:val="0"/>
              <w:spacing w:before="0" w:beforeAutospacing="0" w:after="0" w:afterAutospacing="0"/>
              <w:ind w:left="0" w:right="0"/>
              <w:jc w:val="center"/>
              <w:rPr>
                <w:rFonts w:hint="eastAsia"/>
              </w:rPr>
            </w:pPr>
            <w:r>
              <w:rPr>
                <w:rFonts w:hint="eastAsia"/>
              </w:rPr>
              <w:t>5</w:t>
            </w:r>
          </w:p>
        </w:tc>
        <w:tc>
          <w:tcPr>
            <w:tcW w:w="5006" w:type="dxa"/>
            <w:vAlign w:val="center"/>
          </w:tcPr>
          <w:p>
            <w:pPr>
              <w:keepNext w:val="0"/>
              <w:keepLines w:val="0"/>
              <w:suppressLineNumbers w:val="0"/>
              <w:spacing w:before="0" w:beforeAutospacing="0" w:after="0" w:afterAutospacing="0"/>
              <w:ind w:left="0" w:right="0"/>
              <w:jc w:val="center"/>
              <w:rPr>
                <w:rFonts w:hint="eastAsia"/>
              </w:rPr>
            </w:pPr>
            <w:r>
              <w:rPr>
                <w:rFonts w:hint="eastAsia"/>
              </w:rPr>
              <w:t>校级课题</w:t>
            </w:r>
          </w:p>
        </w:tc>
        <w:tc>
          <w:tcPr>
            <w:tcW w:w="2841" w:type="dxa"/>
            <w:vAlign w:val="center"/>
          </w:tcPr>
          <w:p>
            <w:pPr>
              <w:keepNext w:val="0"/>
              <w:keepLines w:val="0"/>
              <w:suppressLineNumbers w:val="0"/>
              <w:spacing w:before="0" w:beforeAutospacing="0" w:after="0" w:afterAutospacing="0"/>
              <w:ind w:left="0" w:right="0"/>
              <w:jc w:val="center"/>
              <w:rPr>
                <w:rFonts w:hint="eastAsia"/>
              </w:rPr>
            </w:pPr>
            <w:r>
              <w:rPr>
                <w:rFonts w:hint="eastAsia"/>
              </w:rPr>
              <w:t>学校下发通知</w:t>
            </w:r>
          </w:p>
        </w:tc>
      </w:tr>
    </w:tbl>
    <w:p>
      <w:pPr>
        <w:numPr>
          <w:ilvl w:val="0"/>
          <w:numId w:val="0"/>
        </w:numPr>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7.科研管理系统科研信息修改流程</w:t>
      </w:r>
    </w:p>
    <w:p>
      <w:pPr>
        <w:numPr>
          <w:ilvl w:val="0"/>
          <w:numId w:val="0"/>
        </w:num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成果持有人提交修改书面申请报告</w:t>
      </w:r>
      <w:r>
        <w:rPr>
          <w:rFonts w:hint="default" w:ascii="Arial" w:hAnsi="Arial" w:eastAsia="楷体" w:cs="Arial"/>
          <w:color w:val="auto"/>
          <w:sz w:val="32"/>
          <w:szCs w:val="32"/>
          <w:lang w:val="en-US" w:eastAsia="zh-CN"/>
        </w:rPr>
        <w:t>→</w:t>
      </w:r>
      <w:r>
        <w:rPr>
          <w:rFonts w:hint="eastAsia" w:ascii="楷体" w:hAnsi="楷体" w:eastAsia="楷体" w:cs="楷体"/>
          <w:color w:val="auto"/>
          <w:sz w:val="32"/>
          <w:szCs w:val="32"/>
          <w:lang w:val="en-US" w:eastAsia="zh-CN"/>
        </w:rPr>
        <w:t>学院分管领导审批</w:t>
      </w:r>
      <w:r>
        <w:rPr>
          <w:rFonts w:hint="default" w:ascii="Arial" w:hAnsi="Arial" w:eastAsia="楷体" w:cs="Arial"/>
          <w:color w:val="auto"/>
          <w:sz w:val="32"/>
          <w:szCs w:val="32"/>
          <w:lang w:val="en-US" w:eastAsia="zh-CN"/>
        </w:rPr>
        <w:t>→</w:t>
      </w:r>
      <w:r>
        <w:rPr>
          <w:rFonts w:hint="eastAsia" w:ascii="楷体" w:hAnsi="楷体" w:eastAsia="楷体" w:cs="楷体"/>
          <w:color w:val="auto"/>
          <w:sz w:val="32"/>
          <w:szCs w:val="32"/>
          <w:lang w:val="en-US" w:eastAsia="zh-CN"/>
        </w:rPr>
        <w:t>科研处处长审批</w:t>
      </w:r>
      <w:r>
        <w:rPr>
          <w:rFonts w:hint="default" w:ascii="Arial" w:hAnsi="Arial" w:eastAsia="楷体" w:cs="Arial"/>
          <w:color w:val="auto"/>
          <w:sz w:val="32"/>
          <w:szCs w:val="32"/>
          <w:lang w:val="en-US" w:eastAsia="zh-CN"/>
        </w:rPr>
        <w:t>→</w:t>
      </w:r>
      <w:r>
        <w:rPr>
          <w:rFonts w:hint="eastAsia" w:ascii="楷体" w:hAnsi="楷体" w:eastAsia="楷体" w:cs="楷体"/>
          <w:color w:val="auto"/>
          <w:sz w:val="32"/>
          <w:szCs w:val="32"/>
          <w:lang w:val="en-US" w:eastAsia="zh-CN"/>
        </w:rPr>
        <w:t>分管校领导审批</w:t>
      </w:r>
      <w:r>
        <w:rPr>
          <w:rFonts w:hint="default" w:ascii="Arial" w:hAnsi="Arial" w:eastAsia="楷体" w:cs="Arial"/>
          <w:color w:val="auto"/>
          <w:sz w:val="32"/>
          <w:szCs w:val="32"/>
          <w:lang w:val="en-US" w:eastAsia="zh-CN"/>
        </w:rPr>
        <w:t>→</w:t>
      </w:r>
      <w:r>
        <w:rPr>
          <w:rFonts w:hint="eastAsia" w:ascii="楷体" w:hAnsi="楷体" w:eastAsia="楷体" w:cs="楷体"/>
          <w:color w:val="auto"/>
          <w:sz w:val="32"/>
          <w:szCs w:val="32"/>
          <w:lang w:val="en-US" w:eastAsia="zh-CN"/>
        </w:rPr>
        <w:t>科研处退回</w:t>
      </w:r>
      <w:r>
        <w:rPr>
          <w:rFonts w:hint="default" w:ascii="Arial" w:hAnsi="Arial" w:eastAsia="楷体" w:cs="Arial"/>
          <w:color w:val="auto"/>
          <w:sz w:val="32"/>
          <w:szCs w:val="32"/>
          <w:lang w:val="en-US" w:eastAsia="zh-CN"/>
        </w:rPr>
        <w:t>→</w:t>
      </w:r>
      <w:r>
        <w:rPr>
          <w:rFonts w:hint="eastAsia" w:ascii="楷体" w:hAnsi="楷体" w:eastAsia="楷体" w:cs="楷体"/>
          <w:color w:val="auto"/>
          <w:sz w:val="32"/>
          <w:szCs w:val="32"/>
          <w:lang w:val="en-US" w:eastAsia="zh-CN"/>
        </w:rPr>
        <w:t>成果持有人在系统上修改相关信息并提交</w:t>
      </w:r>
      <w:r>
        <w:rPr>
          <w:rFonts w:hint="default" w:ascii="Arial" w:hAnsi="Arial" w:eastAsia="楷体" w:cs="Arial"/>
          <w:color w:val="auto"/>
          <w:sz w:val="32"/>
          <w:szCs w:val="32"/>
          <w:lang w:val="en-US" w:eastAsia="zh-CN"/>
        </w:rPr>
        <w:t>→</w:t>
      </w:r>
      <w:r>
        <w:rPr>
          <w:rFonts w:hint="eastAsia" w:ascii="楷体" w:hAnsi="楷体" w:eastAsia="楷体" w:cs="楷体"/>
          <w:color w:val="auto"/>
          <w:sz w:val="32"/>
          <w:szCs w:val="32"/>
          <w:lang w:val="en-US" w:eastAsia="zh-CN"/>
        </w:rPr>
        <w:t>学院审核</w:t>
      </w:r>
      <w:r>
        <w:rPr>
          <w:rFonts w:hint="default" w:ascii="Arial" w:hAnsi="Arial" w:eastAsia="楷体" w:cs="Arial"/>
          <w:color w:val="auto"/>
          <w:sz w:val="32"/>
          <w:szCs w:val="32"/>
          <w:lang w:val="en-US" w:eastAsia="zh-CN"/>
        </w:rPr>
        <w:t>→</w:t>
      </w:r>
      <w:r>
        <w:rPr>
          <w:rFonts w:hint="eastAsia" w:ascii="楷体" w:hAnsi="楷体" w:eastAsia="楷体" w:cs="楷体"/>
          <w:color w:val="auto"/>
          <w:sz w:val="32"/>
          <w:szCs w:val="32"/>
          <w:lang w:val="en-US" w:eastAsia="zh-CN"/>
        </w:rPr>
        <w:t>科研处审核</w:t>
      </w:r>
    </w:p>
    <w:p>
      <w:pPr>
        <w:numPr>
          <w:ilvl w:val="0"/>
          <w:numId w:val="0"/>
        </w:numPr>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8.科研仪器设备及易耗品购买流程</w:t>
      </w:r>
    </w:p>
    <w:p>
      <w:pPr>
        <w:pStyle w:val="2"/>
        <w:ind w:firstLine="640" w:firstLineChars="200"/>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(1)单价在500元以下的科研仪器设备及易耗品</w:t>
      </w:r>
    </w:p>
    <w:p>
      <w:pPr>
        <w:pStyle w:val="2"/>
        <w:ind w:firstLine="640" w:firstLineChars="200"/>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项目负责人可自行购买单价在500元以下的科研活动易耗品,如:移动硬盘、U盘、A4纸、图书等，纳入学校固定资产管理的（如：移动硬盘）需到资产科办理入库登记手续，其他不列入固定资产管理的可不用入库，由教师个人自行购买，学院科研秘书负责验收，凭购买发票及明细单直接报销。</w:t>
      </w:r>
    </w:p>
    <w:p>
      <w:pPr>
        <w:pStyle w:val="2"/>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 xml:space="preserve">  （2）政府采购目录科研设备</w:t>
      </w:r>
    </w:p>
    <w:p>
      <w:pPr>
        <w:pStyle w:val="2"/>
        <w:ind w:left="0" w:leftChars="0" w:firstLine="640" w:firstLineChars="200"/>
        <w:rPr>
          <w:rFonts w:hint="eastAsia" w:ascii="楷体" w:hAnsi="楷体" w:eastAsia="楷体" w:cs="楷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w:t>
      </w:r>
      <w:r>
        <w:rPr>
          <w:rFonts w:hint="eastAsia" w:ascii="楷体" w:hAnsi="楷体" w:eastAsia="楷体" w:cs="楷体"/>
          <w:color w:val="auto"/>
          <w:kern w:val="2"/>
          <w:sz w:val="32"/>
          <w:szCs w:val="32"/>
          <w:lang w:val="en-US" w:eastAsia="zh-CN" w:bidi="ar-SA"/>
        </w:rPr>
        <w:t>项目负责人收到立项批文时，登录系统新增科研项目，并在“申购计划”模块填报科研仪器设备申购预算。</w:t>
      </w:r>
    </w:p>
    <w:p>
      <w:pPr>
        <w:pStyle w:val="2"/>
        <w:ind w:left="0" w:leftChars="0" w:firstLine="640" w:firstLineChars="200"/>
        <w:rPr>
          <w:rFonts w:hint="eastAsia" w:ascii="楷体" w:hAnsi="楷体" w:eastAsia="楷体" w:cs="楷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w:t>
      </w:r>
      <w:r>
        <w:rPr>
          <w:rFonts w:hint="eastAsia" w:ascii="楷体" w:hAnsi="楷体" w:eastAsia="楷体" w:cs="楷体"/>
          <w:color w:val="auto"/>
          <w:kern w:val="2"/>
          <w:sz w:val="32"/>
          <w:szCs w:val="32"/>
          <w:lang w:val="en-US" w:eastAsia="zh-CN" w:bidi="ar-SA"/>
        </w:rPr>
        <w:t>学院科研秘书需审核申购人员申购总金额不得超出预算金额，并联系资产科宋美华老师核实申报人员未曾使用学校经费购买过同类仪器设备。</w:t>
      </w:r>
    </w:p>
    <w:p>
      <w:pPr>
        <w:pStyle w:val="2"/>
        <w:ind w:left="0" w:leftChars="0" w:firstLine="640" w:firstLineChars="200"/>
        <w:rPr>
          <w:rFonts w:hint="eastAsia" w:ascii="楷体" w:hAnsi="楷体" w:eastAsia="楷体" w:cs="楷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w:t>
      </w:r>
      <w:r>
        <w:rPr>
          <w:rFonts w:hint="eastAsia" w:ascii="楷体" w:hAnsi="楷体" w:eastAsia="楷体" w:cs="楷体"/>
          <w:color w:val="auto"/>
          <w:kern w:val="2"/>
          <w:sz w:val="32"/>
          <w:szCs w:val="32"/>
          <w:lang w:val="en-US" w:eastAsia="zh-CN" w:bidi="ar-SA"/>
        </w:rPr>
        <w:t>次年在学校 OA系统填写政府采购网上超市采购申请表进行申购。</w:t>
      </w:r>
    </w:p>
    <w:p>
      <w:pPr>
        <w:pStyle w:val="2"/>
        <w:ind w:left="0" w:leftChars="0" w:firstLine="640" w:firstLineChars="200"/>
        <w:rPr>
          <w:rFonts w:hint="eastAsia" w:ascii="楷体" w:hAnsi="楷体" w:eastAsia="楷体" w:cs="楷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w:t>
      </w:r>
      <w:r>
        <w:rPr>
          <w:rFonts w:hint="eastAsia" w:ascii="楷体" w:hAnsi="楷体" w:eastAsia="楷体" w:cs="楷体"/>
          <w:color w:val="auto"/>
          <w:kern w:val="2"/>
          <w:sz w:val="32"/>
          <w:szCs w:val="32"/>
          <w:lang w:val="en-US" w:eastAsia="zh-CN" w:bidi="ar-SA"/>
        </w:rPr>
        <w:t>待通知领用时，填写科研经费报销审批表交财务报销后，到资产科宋美华老师处办理资产登记手续并领用。</w:t>
      </w:r>
    </w:p>
    <w:p>
      <w:pPr>
        <w:pStyle w:val="2"/>
        <w:ind w:left="0" w:leftChars="0" w:firstLine="640" w:firstLineChars="200"/>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（3）非政府采购目录科研设备（单价在500元以上）</w:t>
      </w:r>
    </w:p>
    <w:p>
      <w:pPr>
        <w:pStyle w:val="2"/>
        <w:ind w:firstLine="640" w:firstLineChars="200"/>
        <w:rPr>
          <w:rFonts w:hint="eastAsia" w:ascii="楷体" w:hAnsi="楷体" w:eastAsia="楷体" w:cs="楷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w:t>
      </w:r>
      <w:r>
        <w:rPr>
          <w:rFonts w:hint="eastAsia" w:ascii="楷体" w:hAnsi="楷体" w:eastAsia="楷体" w:cs="楷体"/>
          <w:color w:val="auto"/>
          <w:kern w:val="2"/>
          <w:sz w:val="32"/>
          <w:szCs w:val="32"/>
          <w:lang w:val="en-US" w:eastAsia="zh-CN" w:bidi="ar-SA"/>
        </w:rPr>
        <w:t>登录学校OA系统填写科研仪器设备申购单提交审批。</w:t>
      </w:r>
    </w:p>
    <w:p>
      <w:pPr>
        <w:pStyle w:val="2"/>
        <w:ind w:firstLine="640" w:firstLineChars="200"/>
        <w:rPr>
          <w:rFonts w:hint="eastAsia" w:ascii="楷体" w:hAnsi="楷体" w:eastAsia="楷体" w:cs="楷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w:t>
      </w:r>
      <w:r>
        <w:rPr>
          <w:rFonts w:hint="eastAsia" w:ascii="楷体" w:hAnsi="楷体" w:eastAsia="楷体" w:cs="楷体"/>
          <w:color w:val="auto"/>
          <w:kern w:val="2"/>
          <w:sz w:val="32"/>
          <w:szCs w:val="32"/>
          <w:lang w:val="en-US" w:eastAsia="zh-CN" w:bidi="ar-SA"/>
        </w:rPr>
        <w:t>根据后勤管理部门在OA上签署的意见由自行购买或学校后勤处统一购买。</w:t>
      </w:r>
    </w:p>
    <w:p>
      <w:pPr>
        <w:pStyle w:val="2"/>
        <w:ind w:firstLine="640" w:firstLineChars="200"/>
        <w:rPr>
          <w:rFonts w:hint="eastAsia" w:ascii="楷体" w:hAnsi="楷体" w:eastAsia="楷体" w:cs="楷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w:t>
      </w:r>
      <w:r>
        <w:rPr>
          <w:rFonts w:hint="eastAsia" w:ascii="楷体" w:hAnsi="楷体" w:eastAsia="楷体" w:cs="楷体"/>
          <w:color w:val="auto"/>
          <w:kern w:val="2"/>
          <w:sz w:val="32"/>
          <w:szCs w:val="32"/>
          <w:lang w:val="en-US" w:eastAsia="zh-CN" w:bidi="ar-SA"/>
        </w:rPr>
        <w:t>待后勤处通知领用时，填写科研经费报销审批表交财务报销后，到资产科宋美华老师处办理资产登记手续并领用。由自行购买的可凭发票直接报销。</w:t>
      </w:r>
    </w:p>
    <w:p>
      <w:pPr>
        <w:pStyle w:val="2"/>
        <w:ind w:firstLine="640" w:firstLineChars="200"/>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流程图如下：</w:t>
      </w:r>
    </w:p>
    <w:p>
      <w:pPr>
        <w:pStyle w:val="2"/>
        <w:jc w:val="center"/>
        <w:rPr>
          <w:rFonts w:hint="eastAsia"/>
          <w:lang w:val="en-US" w:eastAsia="zh-CN"/>
        </w:rPr>
      </w:pPr>
      <w:r>
        <w:drawing>
          <wp:inline distT="0" distB="0" distL="114300" distR="114300">
            <wp:extent cx="5959475" cy="2910840"/>
            <wp:effectExtent l="0" t="0" r="3175"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959475" cy="2910840"/>
                    </a:xfrm>
                    <a:prstGeom prst="rect">
                      <a:avLst/>
                    </a:prstGeom>
                    <a:noFill/>
                    <a:ln>
                      <a:noFill/>
                    </a:ln>
                  </pic:spPr>
                </pic:pic>
              </a:graphicData>
            </a:graphic>
          </wp:inline>
        </w:drawing>
      </w:r>
    </w:p>
    <w:p>
      <w:pPr>
        <w:numPr>
          <w:ilvl w:val="0"/>
          <w:numId w:val="0"/>
        </w:numPr>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9.课题经费预算填报提示</w:t>
      </w:r>
    </w:p>
    <w:p>
      <w:pPr>
        <w:numPr>
          <w:ilvl w:val="0"/>
          <w:numId w:val="0"/>
        </w:numPr>
        <w:rPr>
          <w:rFonts w:hint="default" w:ascii="仿宋_GB2312" w:eastAsia="仿宋_GB2312"/>
          <w:sz w:val="32"/>
          <w:szCs w:val="32"/>
          <w:lang w:val="en-US" w:eastAsia="zh-CN"/>
        </w:rPr>
      </w:pPr>
      <w:r>
        <w:rPr>
          <w:rFonts w:hint="default" w:ascii="仿宋_GB2312" w:eastAsia="仿宋_GB2312"/>
          <w:sz w:val="32"/>
          <w:szCs w:val="32"/>
          <w:lang w:val="en-US" w:eastAsia="zh-CN"/>
        </w:rPr>
        <w:drawing>
          <wp:inline distT="0" distB="0" distL="114300" distR="114300">
            <wp:extent cx="5271770" cy="2816860"/>
            <wp:effectExtent l="0" t="0" r="5080" b="2540"/>
            <wp:docPr id="1" name="图片 1" descr="592ecafadb836eef19e9e5c970043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92ecafadb836eef19e9e5c970043d6"/>
                    <pic:cNvPicPr>
                      <a:picLocks noChangeAspect="1"/>
                    </pic:cNvPicPr>
                  </pic:nvPicPr>
                  <pic:blipFill>
                    <a:blip r:embed="rId7"/>
                    <a:stretch>
                      <a:fillRect/>
                    </a:stretch>
                  </pic:blipFill>
                  <pic:spPr>
                    <a:xfrm>
                      <a:off x="0" y="0"/>
                      <a:ext cx="5271770" cy="2816860"/>
                    </a:xfrm>
                    <a:prstGeom prst="rect">
                      <a:avLst/>
                    </a:prstGeom>
                  </pic:spPr>
                </pic:pic>
              </a:graphicData>
            </a:graphic>
          </wp:inline>
        </w:drawing>
      </w:r>
    </w:p>
    <w:p>
      <w:pPr>
        <w:numPr>
          <w:ilvl w:val="0"/>
          <w:numId w:val="0"/>
        </w:numPr>
        <w:ind w:firstLine="640" w:firstLineChars="200"/>
        <w:rPr>
          <w:rFonts w:hint="eastAsia" w:ascii="黑体" w:hAnsi="黑体" w:eastAsia="黑体" w:cs="黑体"/>
          <w:color w:val="auto"/>
          <w:sz w:val="32"/>
          <w:szCs w:val="32"/>
          <w:lang w:val="en-US" w:eastAsia="zh-CN"/>
        </w:rPr>
      </w:pPr>
      <w:r>
        <w:rPr>
          <w:rFonts w:hint="eastAsia" w:ascii="黑体" w:hAnsi="黑体" w:eastAsia="黑体"/>
          <w:sz w:val="32"/>
          <w:szCs w:val="32"/>
          <w:lang w:val="en-US" w:eastAsia="zh-CN"/>
        </w:rPr>
        <w:t>10.论文投稿参考</w:t>
      </w:r>
    </w:p>
    <w:p>
      <w:pPr>
        <w:pStyle w:val="5"/>
        <w:shd w:val="clear" w:color="auto" w:fill="FFFFFF"/>
        <w:spacing w:before="0" w:beforeAutospacing="0" w:after="0" w:afterAutospacing="0" w:line="480" w:lineRule="atLeast"/>
        <w:ind w:left="360"/>
        <w:jc w:val="left"/>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(1)收到杂志社征稿通知后，将“期刊名称全称”在国家新闻出版署：</w:t>
      </w:r>
      <w:r>
        <w:rPr>
          <w:rFonts w:hint="eastAsia" w:ascii="楷体" w:hAnsi="楷体" w:eastAsia="楷体" w:cs="楷体"/>
          <w:color w:val="auto"/>
          <w:kern w:val="2"/>
          <w:sz w:val="32"/>
          <w:szCs w:val="32"/>
          <w:lang w:val="en-US" w:eastAsia="zh-CN" w:bidi="ar-SA"/>
        </w:rPr>
        <w:fldChar w:fldCharType="begin"/>
      </w:r>
      <w:r>
        <w:rPr>
          <w:rFonts w:hint="eastAsia" w:ascii="楷体" w:hAnsi="楷体" w:eastAsia="楷体" w:cs="楷体"/>
          <w:color w:val="auto"/>
          <w:kern w:val="2"/>
          <w:sz w:val="32"/>
          <w:szCs w:val="32"/>
          <w:lang w:val="en-US" w:eastAsia="zh-CN" w:bidi="ar-SA"/>
        </w:rPr>
        <w:instrText xml:space="preserve"> HYPERLINK "http://www.nppa.gov.cn/nppa/publishing/magazine.shtml" </w:instrText>
      </w:r>
      <w:r>
        <w:rPr>
          <w:rFonts w:hint="eastAsia" w:ascii="楷体" w:hAnsi="楷体" w:eastAsia="楷体" w:cs="楷体"/>
          <w:color w:val="auto"/>
          <w:kern w:val="2"/>
          <w:sz w:val="32"/>
          <w:szCs w:val="32"/>
          <w:lang w:val="en-US" w:eastAsia="zh-CN" w:bidi="ar-SA"/>
        </w:rPr>
        <w:fldChar w:fldCharType="separate"/>
      </w:r>
      <w:r>
        <w:rPr>
          <w:rFonts w:hint="eastAsia" w:ascii="楷体" w:hAnsi="楷体" w:eastAsia="楷体" w:cs="楷体"/>
          <w:color w:val="auto"/>
          <w:kern w:val="2"/>
          <w:sz w:val="32"/>
          <w:szCs w:val="32"/>
          <w:lang w:val="en-US" w:eastAsia="zh-CN" w:bidi="ar-SA"/>
        </w:rPr>
        <w:t>http://www.nppa.gov.cn/nppa/publishing/magazine.shtml</w:t>
      </w:r>
      <w:r>
        <w:rPr>
          <w:rFonts w:hint="eastAsia" w:ascii="楷体" w:hAnsi="楷体" w:eastAsia="楷体" w:cs="楷体"/>
          <w:color w:val="auto"/>
          <w:kern w:val="2"/>
          <w:sz w:val="32"/>
          <w:szCs w:val="32"/>
          <w:lang w:val="en-US" w:eastAsia="zh-CN" w:bidi="ar-SA"/>
        </w:rPr>
        <w:fldChar w:fldCharType="end"/>
      </w:r>
      <w:r>
        <w:rPr>
          <w:rFonts w:hint="eastAsia" w:ascii="楷体" w:hAnsi="楷体" w:eastAsia="楷体" w:cs="楷体"/>
          <w:color w:val="auto"/>
          <w:kern w:val="2"/>
          <w:sz w:val="32"/>
          <w:szCs w:val="32"/>
          <w:lang w:val="en-US" w:eastAsia="zh-CN" w:bidi="ar-SA"/>
        </w:rPr>
        <w:t>的“办事服务—期刊/期刊社查询”查询，确定期刊是否为合法期刊。</w:t>
      </w:r>
    </w:p>
    <w:p>
      <w:pPr>
        <w:pStyle w:val="5"/>
        <w:shd w:val="clear" w:color="auto" w:fill="FFFFFF"/>
        <w:spacing w:before="0" w:beforeAutospacing="0" w:after="0" w:afterAutospacing="0" w:line="480" w:lineRule="atLeast"/>
        <w:ind w:firstLine="435"/>
        <w:jc w:val="both"/>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(2)将合法的期刊全称在知网数据库中查询该期刊有几种版本。如果期刊有几种版本，且几种版的期刊的CN刊号相同，则该期刊是一号多刊，这种期刊是违规期刊（中华人民共和国新闻出版总署令第三十三条规定）。建议不要去投稿。</w:t>
      </w:r>
    </w:p>
    <w:p>
      <w:pPr>
        <w:pStyle w:val="5"/>
        <w:shd w:val="clear" w:color="auto" w:fill="FFFFFF"/>
        <w:spacing w:before="0" w:beforeAutospacing="0" w:after="0" w:afterAutospacing="0" w:line="480" w:lineRule="atLeast"/>
        <w:ind w:firstLine="435"/>
        <w:jc w:val="both"/>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(3)若期刊是唯一版本，请注意期刊封面上的字样，若出现“理论版、学术版、教育教学研究、学术研究”等字样时。请致电当地新闻出版局新闻报刊处，咨询该期刊是否违法违规。</w:t>
      </w:r>
    </w:p>
    <w:p>
      <w:pPr>
        <w:pStyle w:val="5"/>
        <w:shd w:val="clear" w:color="auto" w:fill="FFFFFF"/>
        <w:spacing w:before="0" w:beforeAutospacing="0" w:after="0" w:afterAutospacing="0" w:line="480" w:lineRule="atLeast"/>
        <w:ind w:firstLine="435"/>
        <w:jc w:val="both"/>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(4)请不要找中介机构代投稿、避免上当受骗。</w:t>
      </w:r>
    </w:p>
    <w:p>
      <w:pPr>
        <w:pStyle w:val="5"/>
        <w:shd w:val="clear" w:color="auto" w:fill="FFFFFF"/>
        <w:spacing w:before="0" w:beforeAutospacing="0" w:after="0" w:afterAutospacing="0" w:line="480" w:lineRule="atLeast"/>
        <w:ind w:firstLine="435"/>
        <w:jc w:val="both"/>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(5）在文章投稿前，请进行查重处理，避免出现知识产权的纠纷。</w:t>
      </w:r>
    </w:p>
    <w:p>
      <w:pPr>
        <w:numPr>
          <w:ilvl w:val="0"/>
          <w:numId w:val="0"/>
        </w:numPr>
        <w:rPr>
          <w:rFonts w:hint="eastAsia" w:ascii="黑体" w:hAnsi="黑体" w:eastAsia="黑体" w:cstheme="minorBidi"/>
          <w:kern w:val="2"/>
          <w:sz w:val="32"/>
          <w:szCs w:val="32"/>
          <w:lang w:val="en-US" w:eastAsia="zh-CN" w:bidi="ar-SA"/>
        </w:rPr>
      </w:pPr>
      <w:r>
        <w:rPr>
          <w:rFonts w:hint="eastAsia" w:ascii="仿宋_GB2312" w:eastAsia="仿宋_GB2312"/>
          <w:sz w:val="32"/>
          <w:szCs w:val="32"/>
          <w:lang w:val="en-US" w:eastAsia="zh-CN"/>
        </w:rPr>
        <w:t xml:space="preserve"> </w:t>
      </w:r>
      <w:r>
        <w:rPr>
          <w:rFonts w:hint="eastAsia" w:ascii="黑体" w:hAnsi="黑体" w:eastAsia="黑体" w:cstheme="minorBidi"/>
          <w:kern w:val="2"/>
          <w:sz w:val="32"/>
          <w:szCs w:val="32"/>
          <w:lang w:val="en-US" w:eastAsia="zh-CN" w:bidi="ar-SA"/>
        </w:rPr>
        <w:t xml:space="preserve"> 12.校级课题结项申请</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（1）</w:t>
      </w:r>
      <w:r>
        <w:rPr>
          <w:rFonts w:hint="eastAsia" w:ascii="楷体" w:hAnsi="楷体" w:eastAsia="楷体" w:cs="楷体"/>
          <w:b/>
          <w:bCs/>
          <w:color w:val="auto"/>
          <w:kern w:val="2"/>
          <w:sz w:val="32"/>
          <w:szCs w:val="32"/>
          <w:lang w:val="en-US" w:eastAsia="zh-CN" w:bidi="ar-SA"/>
        </w:rPr>
        <w:t>结项办理：</w:t>
      </w:r>
      <w:r>
        <w:rPr>
          <w:rFonts w:hint="eastAsia" w:ascii="楷体" w:hAnsi="楷体" w:eastAsia="楷体" w:cs="楷体"/>
          <w:color w:val="auto"/>
          <w:kern w:val="2"/>
          <w:sz w:val="32"/>
          <w:szCs w:val="32"/>
          <w:lang w:val="en-US" w:eastAsia="zh-CN" w:bidi="ar-SA"/>
        </w:rPr>
        <w:t>登录学校科研管理系统→科研项目→办理业务→上传项目申报书→提交结项报告→二级单位审核→科研处审定</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需上传的材料：</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①结题报告书（二级学院填写审核意见并加盖学院公章、财务科盖章）②佐证材料（包括期刊的封面，目录，版权页，论文的内容，封底）所有材料合成一个PDF上传。</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（2）</w:t>
      </w:r>
      <w:r>
        <w:rPr>
          <w:rFonts w:hint="eastAsia" w:ascii="楷体" w:hAnsi="楷体" w:eastAsia="楷体" w:cs="楷体"/>
          <w:b/>
          <w:bCs/>
          <w:color w:val="auto"/>
          <w:kern w:val="2"/>
          <w:sz w:val="32"/>
          <w:szCs w:val="32"/>
          <w:lang w:val="en-US" w:eastAsia="zh-CN" w:bidi="ar-SA"/>
        </w:rPr>
        <w:t>课题升级办理：</w:t>
      </w:r>
      <w:r>
        <w:rPr>
          <w:rFonts w:hint="eastAsia" w:ascii="楷体" w:hAnsi="楷体" w:eastAsia="楷体" w:cs="楷体"/>
          <w:color w:val="auto"/>
          <w:kern w:val="2"/>
          <w:sz w:val="32"/>
          <w:szCs w:val="32"/>
          <w:lang w:val="en-US" w:eastAsia="zh-CN" w:bidi="ar-SA"/>
        </w:rPr>
        <w:t>登录学校科研管理系统→科研项目→办理业务→变更→中止变更→填写变更原因→二级单位审核→科研处审定。</w:t>
      </w:r>
    </w:p>
    <w:p>
      <w:pPr>
        <w:pStyle w:val="2"/>
        <w:rPr>
          <w:rFonts w:hint="default"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13.今后课题申报材料提交注意事项，</w:t>
      </w:r>
      <w:r>
        <w:rPr>
          <w:rFonts w:hint="default" w:ascii="楷体" w:hAnsi="楷体" w:eastAsia="楷体" w:cs="楷体"/>
          <w:color w:val="auto"/>
          <w:kern w:val="2"/>
          <w:sz w:val="32"/>
          <w:szCs w:val="32"/>
          <w:lang w:val="en-US" w:eastAsia="zh-CN" w:bidi="ar-SA"/>
        </w:rPr>
        <w:t>（通知中另有要求的除外）：</w:t>
      </w:r>
    </w:p>
    <w:p>
      <w:pPr>
        <w:pStyle w:val="2"/>
        <w:rPr>
          <w:rFonts w:hint="default"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（1）</w:t>
      </w:r>
      <w:r>
        <w:rPr>
          <w:rFonts w:hint="default" w:ascii="楷体" w:hAnsi="楷体" w:eastAsia="楷体" w:cs="楷体"/>
          <w:color w:val="auto"/>
          <w:kern w:val="2"/>
          <w:sz w:val="32"/>
          <w:szCs w:val="32"/>
          <w:lang w:val="en-US" w:eastAsia="zh-CN" w:bidi="ar-SA"/>
        </w:rPr>
        <w:t>电子版是word版本，文档中的空白页须删除。</w:t>
      </w:r>
    </w:p>
    <w:p>
      <w:pPr>
        <w:pStyle w:val="2"/>
        <w:rPr>
          <w:rFonts w:hint="default"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（2）</w:t>
      </w:r>
      <w:r>
        <w:rPr>
          <w:rFonts w:hint="default" w:ascii="楷体" w:hAnsi="楷体" w:eastAsia="楷体" w:cs="楷体"/>
          <w:color w:val="auto"/>
          <w:kern w:val="2"/>
          <w:sz w:val="32"/>
          <w:szCs w:val="32"/>
          <w:lang w:val="en-US" w:eastAsia="zh-CN" w:bidi="ar-SA"/>
        </w:rPr>
        <w:t>打印须用A4纸双面打印。</w:t>
      </w:r>
    </w:p>
    <w:p>
      <w:pPr>
        <w:pStyle w:val="2"/>
        <w:rPr>
          <w:rFonts w:hint="default"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（3）</w:t>
      </w:r>
      <w:r>
        <w:rPr>
          <w:rFonts w:hint="default" w:ascii="楷体" w:hAnsi="楷体" w:eastAsia="楷体" w:cs="楷体"/>
          <w:color w:val="auto"/>
          <w:kern w:val="2"/>
          <w:sz w:val="32"/>
          <w:szCs w:val="32"/>
          <w:lang w:val="en-US" w:eastAsia="zh-CN" w:bidi="ar-SA"/>
        </w:rPr>
        <w:t>电子文件命名须严格按照通知要求执行。如：张三+课题名称+申报书或张三+课题名称+活页</w:t>
      </w:r>
    </w:p>
    <w:p>
      <w:pPr>
        <w:numPr>
          <w:ilvl w:val="0"/>
          <w:numId w:val="0"/>
        </w:numPr>
        <w:rPr>
          <w:rFonts w:hint="default"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13.</w:t>
      </w:r>
      <w:r>
        <w:rPr>
          <w:rFonts w:hint="eastAsia" w:ascii="黑体" w:hAnsi="黑体" w:eastAsia="黑体" w:cstheme="minorBidi"/>
          <w:kern w:val="2"/>
          <w:sz w:val="32"/>
          <w:szCs w:val="32"/>
          <w:lang w:val="en-US" w:eastAsia="zh-CN" w:bidi="ar-SA"/>
        </w:rPr>
        <w:t>福建省社科规划项目间接经费填写。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间接费用一般按照不超过项目资助总额的一定比例核定。具体比例如下：20万元及以下部分为40%；超过20万元至50万元的部分30%；超过50万元至500万元的部分为20%。</w:t>
      </w:r>
    </w:p>
    <w:p>
      <w:pPr>
        <w:pStyle w:val="6"/>
        <w:ind w:left="0" w:leftChars="0" w:firstLine="640" w:firstLineChars="200"/>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如：省社科资助金额为4万元，那么间接经费必须填1.6万元。</w:t>
      </w:r>
    </w:p>
    <w:p>
      <w:pPr>
        <w:numPr>
          <w:ilvl w:val="0"/>
          <w:numId w:val="0"/>
        </w:numPr>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14.课题结题后结余资金的使用。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项目结余经费实行“包干使用”。项目完成任务目标并通过验收或鉴定，且项目结余资金未被收回，校级项目结余资金由项目负责人在1年内（从项目验收后第二年的1月1日开始计算）、校级以上项目结余资金由项目负责人在2年内（计算方法同上）统筹安排用于科研活动的直接支出。超过上述有效期限、项目结余资金仍有剩余且未由资助管理部门收回的，剩余资金收归学校统筹使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 w:hAnsi="楷体" w:eastAsia="楷体" w:cs="楷体"/>
          <w:color w:val="auto"/>
          <w:kern w:val="2"/>
          <w:sz w:val="32"/>
          <w:szCs w:val="32"/>
          <w:lang w:val="en-US" w:eastAsia="zh-CN" w:bidi="ar-SA"/>
        </w:rPr>
      </w:pPr>
    </w:p>
    <w:p>
      <w:pPr>
        <w:pStyle w:val="2"/>
        <w:rPr>
          <w:rFonts w:hint="default" w:ascii="楷体" w:hAnsi="楷体" w:eastAsia="楷体" w:cs="楷体"/>
          <w:color w:val="auto"/>
          <w:kern w:val="2"/>
          <w:sz w:val="32"/>
          <w:szCs w:val="32"/>
          <w:lang w:val="en-US" w:eastAsia="zh-CN" w:bidi="ar-SA"/>
        </w:rPr>
      </w:pPr>
      <w:bookmarkStart w:id="0" w:name="_GoBack"/>
      <w:bookmarkEnd w:id="0"/>
    </w:p>
    <w:p>
      <w:pPr>
        <w:numPr>
          <w:ilvl w:val="0"/>
          <w:numId w:val="0"/>
        </w:numPr>
        <w:rPr>
          <w:rFonts w:hint="default" w:ascii="楷体" w:hAnsi="楷体" w:eastAsia="楷体" w:cs="楷体"/>
          <w:color w:val="auto"/>
          <w:kern w:val="2"/>
          <w:sz w:val="32"/>
          <w:szCs w:val="32"/>
          <w:lang w:val="en-US" w:eastAsia="zh-CN" w:bidi="ar-SA"/>
        </w:rPr>
      </w:pPr>
    </w:p>
    <w:p>
      <w:pPr>
        <w:numPr>
          <w:ilvl w:val="0"/>
          <w:numId w:val="0"/>
        </w:numPr>
        <w:ind w:firstLine="640"/>
        <w:rPr>
          <w:rFonts w:hint="eastAsia" w:ascii="仿宋_GB2312" w:eastAsia="仿宋_GB2312"/>
          <w:sz w:val="32"/>
          <w:szCs w:val="32"/>
          <w:lang w:val="en-US" w:eastAsia="zh-CN"/>
        </w:rPr>
      </w:pPr>
    </w:p>
    <w:p>
      <w:pPr>
        <w:numPr>
          <w:ilvl w:val="0"/>
          <w:numId w:val="0"/>
        </w:numPr>
        <w:ind w:firstLine="640"/>
        <w:rPr>
          <w:rFonts w:hint="default" w:ascii="仿宋_GB2312" w:eastAsia="仿宋_GB2312"/>
          <w:sz w:val="32"/>
          <w:szCs w:val="32"/>
          <w:lang w:val="en-US" w:eastAsia="zh-CN"/>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ODRkMWU2ZjYyZGNhYmFhMWUxNTRlN2E4ZTkzYWQifQ=="/>
  </w:docVars>
  <w:rsids>
    <w:rsidRoot w:val="00401BF5"/>
    <w:rsid w:val="001769AC"/>
    <w:rsid w:val="0020630A"/>
    <w:rsid w:val="00401BF5"/>
    <w:rsid w:val="00446F96"/>
    <w:rsid w:val="00541D7D"/>
    <w:rsid w:val="00544E44"/>
    <w:rsid w:val="005B66B7"/>
    <w:rsid w:val="009C7F92"/>
    <w:rsid w:val="009D1023"/>
    <w:rsid w:val="00AF4F55"/>
    <w:rsid w:val="00BE0591"/>
    <w:rsid w:val="00CA6298"/>
    <w:rsid w:val="00F11928"/>
    <w:rsid w:val="01E314E9"/>
    <w:rsid w:val="02FD6442"/>
    <w:rsid w:val="039C539B"/>
    <w:rsid w:val="04245B63"/>
    <w:rsid w:val="05596E42"/>
    <w:rsid w:val="05DF0F21"/>
    <w:rsid w:val="07B40FAC"/>
    <w:rsid w:val="07C323B1"/>
    <w:rsid w:val="087C21D6"/>
    <w:rsid w:val="08BA0844"/>
    <w:rsid w:val="09631114"/>
    <w:rsid w:val="09EA650C"/>
    <w:rsid w:val="0A962C3E"/>
    <w:rsid w:val="0B680A2B"/>
    <w:rsid w:val="0D215336"/>
    <w:rsid w:val="0E100F06"/>
    <w:rsid w:val="0E970468"/>
    <w:rsid w:val="0E98640C"/>
    <w:rsid w:val="0FA1719B"/>
    <w:rsid w:val="109C62E9"/>
    <w:rsid w:val="109F3FC2"/>
    <w:rsid w:val="1204173E"/>
    <w:rsid w:val="12355362"/>
    <w:rsid w:val="133B53B3"/>
    <w:rsid w:val="13F015BE"/>
    <w:rsid w:val="15F851C5"/>
    <w:rsid w:val="173C0581"/>
    <w:rsid w:val="17B4275A"/>
    <w:rsid w:val="18266A0F"/>
    <w:rsid w:val="184F5A80"/>
    <w:rsid w:val="19D73962"/>
    <w:rsid w:val="1A97396E"/>
    <w:rsid w:val="1B134C1D"/>
    <w:rsid w:val="1C341A06"/>
    <w:rsid w:val="1CF117F9"/>
    <w:rsid w:val="1E1E1DAA"/>
    <w:rsid w:val="1E6037E4"/>
    <w:rsid w:val="1FE35ABA"/>
    <w:rsid w:val="2077343C"/>
    <w:rsid w:val="22F643D4"/>
    <w:rsid w:val="23B568B7"/>
    <w:rsid w:val="249441E7"/>
    <w:rsid w:val="25543D78"/>
    <w:rsid w:val="26C02E5C"/>
    <w:rsid w:val="26EF5A9C"/>
    <w:rsid w:val="273121C1"/>
    <w:rsid w:val="282425B5"/>
    <w:rsid w:val="28372B7F"/>
    <w:rsid w:val="293E4DA4"/>
    <w:rsid w:val="29CD6DD1"/>
    <w:rsid w:val="2AC72212"/>
    <w:rsid w:val="2BD928D9"/>
    <w:rsid w:val="2C077995"/>
    <w:rsid w:val="2C996564"/>
    <w:rsid w:val="2DA84CAB"/>
    <w:rsid w:val="2DF13207"/>
    <w:rsid w:val="2E2C490A"/>
    <w:rsid w:val="3180446C"/>
    <w:rsid w:val="324E1E79"/>
    <w:rsid w:val="32992C31"/>
    <w:rsid w:val="32F7334F"/>
    <w:rsid w:val="333D612B"/>
    <w:rsid w:val="33FE342B"/>
    <w:rsid w:val="340A4774"/>
    <w:rsid w:val="354E49C7"/>
    <w:rsid w:val="35670680"/>
    <w:rsid w:val="36E25286"/>
    <w:rsid w:val="370D2F53"/>
    <w:rsid w:val="37245189"/>
    <w:rsid w:val="373B4692"/>
    <w:rsid w:val="37797AF1"/>
    <w:rsid w:val="396E1053"/>
    <w:rsid w:val="39ED367F"/>
    <w:rsid w:val="3AC9745E"/>
    <w:rsid w:val="3B854FA6"/>
    <w:rsid w:val="3FCE45FA"/>
    <w:rsid w:val="41401527"/>
    <w:rsid w:val="436C03B1"/>
    <w:rsid w:val="45440EBA"/>
    <w:rsid w:val="45DD7344"/>
    <w:rsid w:val="473C11B4"/>
    <w:rsid w:val="47B470B3"/>
    <w:rsid w:val="4840005F"/>
    <w:rsid w:val="494225B7"/>
    <w:rsid w:val="49CA2C54"/>
    <w:rsid w:val="4A277FDC"/>
    <w:rsid w:val="4BE01E83"/>
    <w:rsid w:val="4CDD1B18"/>
    <w:rsid w:val="4D690DD8"/>
    <w:rsid w:val="4D9258F5"/>
    <w:rsid w:val="4E870795"/>
    <w:rsid w:val="4EAB468A"/>
    <w:rsid w:val="4EF56BA5"/>
    <w:rsid w:val="518D1881"/>
    <w:rsid w:val="51D06E98"/>
    <w:rsid w:val="52802FD6"/>
    <w:rsid w:val="529E60AD"/>
    <w:rsid w:val="52BF7671"/>
    <w:rsid w:val="534722A1"/>
    <w:rsid w:val="545A0E04"/>
    <w:rsid w:val="55927985"/>
    <w:rsid w:val="563F39B0"/>
    <w:rsid w:val="56F4590C"/>
    <w:rsid w:val="57EB1E48"/>
    <w:rsid w:val="57F278CA"/>
    <w:rsid w:val="586B711C"/>
    <w:rsid w:val="59993CC9"/>
    <w:rsid w:val="59E52901"/>
    <w:rsid w:val="5A0C1B4F"/>
    <w:rsid w:val="5B5A4B3C"/>
    <w:rsid w:val="5BA42C11"/>
    <w:rsid w:val="5CFF1231"/>
    <w:rsid w:val="5D7C3206"/>
    <w:rsid w:val="5E74555D"/>
    <w:rsid w:val="5EC0243E"/>
    <w:rsid w:val="5FAA6092"/>
    <w:rsid w:val="5FB3393B"/>
    <w:rsid w:val="600E7463"/>
    <w:rsid w:val="601018CA"/>
    <w:rsid w:val="60E7549D"/>
    <w:rsid w:val="61E627BA"/>
    <w:rsid w:val="6336169E"/>
    <w:rsid w:val="63D86F45"/>
    <w:rsid w:val="645E569D"/>
    <w:rsid w:val="647933EC"/>
    <w:rsid w:val="649668E2"/>
    <w:rsid w:val="64F0130E"/>
    <w:rsid w:val="657B71D7"/>
    <w:rsid w:val="68190258"/>
    <w:rsid w:val="6A57353B"/>
    <w:rsid w:val="6CF90658"/>
    <w:rsid w:val="6D542242"/>
    <w:rsid w:val="6E310B8E"/>
    <w:rsid w:val="6E737F96"/>
    <w:rsid w:val="6E7E5AA7"/>
    <w:rsid w:val="7146712D"/>
    <w:rsid w:val="71B27028"/>
    <w:rsid w:val="740B66EF"/>
    <w:rsid w:val="754A7712"/>
    <w:rsid w:val="756B624F"/>
    <w:rsid w:val="75966566"/>
    <w:rsid w:val="75B275F6"/>
    <w:rsid w:val="77E904E0"/>
    <w:rsid w:val="79CE23CF"/>
    <w:rsid w:val="79DE3F00"/>
    <w:rsid w:val="7B4E1EB3"/>
    <w:rsid w:val="7B6814E0"/>
    <w:rsid w:val="7F6C2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rPr>
      <w:szCs w:val="24"/>
    </w:rPr>
  </w:style>
  <w:style w:type="paragraph" w:styleId="4">
    <w:name w:val="Body Text Indent"/>
    <w:basedOn w:val="1"/>
    <w:unhideWhenUsed/>
    <w:qFormat/>
    <w:uiPriority w:val="99"/>
    <w:pPr>
      <w:spacing w:after="120"/>
      <w:ind w:left="420" w:leftChars="200"/>
    </w:p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2"/>
    <w:basedOn w:val="4"/>
    <w:qFormat/>
    <w:uiPriority w:val="0"/>
    <w:pPr>
      <w:ind w:firstLine="420" w:firstLineChars="200"/>
    </w:pPr>
    <w:rPr>
      <w:rFonts w:ascii="Calibri" w:hAnsi="Calibri"/>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7</Pages>
  <Words>2197</Words>
  <Characters>2332</Characters>
  <Lines>2</Lines>
  <Paragraphs>1</Paragraphs>
  <TotalTime>0</TotalTime>
  <ScaleCrop>false</ScaleCrop>
  <LinksUpToDate>false</LinksUpToDate>
  <CharactersWithSpaces>2345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2021-05-11T07:06:00Z</dcterms:created>
  <dc:creator>刘远航</dc:creator>
  <cp:lastModifiedBy>lxy</cp:lastModifiedBy>
  <dcterms:modified xsi:type="dcterms:W3CDTF">2022-06-07T02:25:18Z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C4991B46867347B3975D3F359B1C80A7</vt:lpwstr>
  </property>
</Properties>
</file>