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vertAlign w:val="baseline"/>
          <w:lang w:val="en-US" w:eastAsia="zh-CN"/>
        </w:rPr>
      </w:pPr>
      <w:r>
        <w:rPr>
          <w:rFonts w:hint="eastAsia"/>
          <w:vertAlign w:val="baseline"/>
          <w:lang w:val="en-US" w:eastAsia="zh-CN"/>
        </w:rPr>
        <w:t>福建向峰贸易有限公司</w:t>
      </w:r>
      <w:bookmarkStart w:id="0" w:name="_GoBack"/>
      <w:bookmarkEnd w:id="0"/>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单位名称</w:t>
            </w:r>
          </w:p>
        </w:tc>
        <w:tc>
          <w:tcPr>
            <w:tcW w:w="6392" w:type="dxa"/>
            <w:gridSpan w:val="3"/>
            <w:vAlign w:val="bottom"/>
          </w:tcPr>
          <w:p>
            <w:pPr>
              <w:keepNext w:val="0"/>
              <w:keepLines w:val="0"/>
              <w:widowControl/>
              <w:suppressLineNumbers w:val="0"/>
              <w:jc w:val="left"/>
              <w:textAlignment w:val="bottom"/>
              <w:rPr>
                <w:vertAlign w:val="baseline"/>
              </w:rPr>
            </w:pPr>
            <w:r>
              <w:rPr>
                <w:rFonts w:hint="default" w:ascii="Arial" w:hAnsi="Arial" w:eastAsia="宋体" w:cs="Arial"/>
                <w:i w:val="0"/>
                <w:color w:val="000000"/>
                <w:kern w:val="0"/>
                <w:sz w:val="20"/>
                <w:szCs w:val="20"/>
                <w:u w:val="none"/>
                <w:lang w:val="en-US" w:eastAsia="zh-CN" w:bidi="ar"/>
              </w:rPr>
              <w:t>福建向峰贸易有限公司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vMerge w:val="restart"/>
          </w:tcPr>
          <w:p>
            <w:pPr>
              <w:jc w:val="center"/>
              <w:rPr>
                <w:rFonts w:hint="eastAsia" w:eastAsiaTheme="minorEastAsia"/>
                <w:vertAlign w:val="baseline"/>
                <w:lang w:val="en-US" w:eastAsia="zh-CN"/>
              </w:rPr>
            </w:pPr>
            <w:r>
              <w:rPr>
                <w:rFonts w:hint="eastAsia"/>
                <w:vertAlign w:val="baseline"/>
                <w:lang w:val="en-US" w:eastAsia="zh-CN"/>
              </w:rPr>
              <w:t>联系人</w:t>
            </w:r>
          </w:p>
        </w:tc>
        <w:tc>
          <w:tcPr>
            <w:tcW w:w="2130" w:type="dxa"/>
            <w:vMerge w:val="restart"/>
            <w:vAlign w:val="bottom"/>
          </w:tcPr>
          <w:p>
            <w:pPr>
              <w:keepNext w:val="0"/>
              <w:keepLines w:val="0"/>
              <w:widowControl/>
              <w:suppressLineNumbers w:val="0"/>
              <w:jc w:val="center"/>
              <w:textAlignment w:val="bottom"/>
              <w:rPr>
                <w:vertAlign w:val="baseline"/>
              </w:rPr>
            </w:pPr>
            <w:r>
              <w:rPr>
                <w:rFonts w:hint="default" w:ascii="Arial" w:hAnsi="Arial" w:eastAsia="宋体" w:cs="Arial"/>
                <w:i w:val="0"/>
                <w:color w:val="000000"/>
                <w:kern w:val="0"/>
                <w:sz w:val="20"/>
                <w:szCs w:val="20"/>
                <w:u w:val="none"/>
                <w:lang w:val="en-US" w:eastAsia="zh-CN" w:bidi="ar"/>
              </w:rPr>
              <w:t>林女士</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联系电话</w:t>
            </w:r>
          </w:p>
        </w:tc>
        <w:tc>
          <w:tcPr>
            <w:tcW w:w="2131" w:type="dxa"/>
            <w:vAlign w:val="bottom"/>
          </w:tcPr>
          <w:p>
            <w:pPr>
              <w:keepNext w:val="0"/>
              <w:keepLines w:val="0"/>
              <w:widowControl/>
              <w:suppressLineNumbers w:val="0"/>
              <w:jc w:val="left"/>
              <w:textAlignment w:val="bottom"/>
              <w:rPr>
                <w:vertAlign w:val="baseline"/>
              </w:rPr>
            </w:pPr>
            <w:r>
              <w:rPr>
                <w:rFonts w:hint="default" w:ascii="Arial" w:hAnsi="Arial" w:eastAsia="宋体" w:cs="Arial"/>
                <w:i w:val="0"/>
                <w:color w:val="000000"/>
                <w:kern w:val="0"/>
                <w:sz w:val="20"/>
                <w:szCs w:val="20"/>
                <w:u w:val="none"/>
                <w:lang w:val="en-US" w:eastAsia="zh-CN" w:bidi="ar"/>
              </w:rPr>
              <w:t>15980162191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 w:hRule="atLeast"/>
          <w:jc w:val="center"/>
        </w:trPr>
        <w:tc>
          <w:tcPr>
            <w:tcW w:w="2130" w:type="dxa"/>
            <w:vMerge w:val="continue"/>
          </w:tcPr>
          <w:p>
            <w:pPr>
              <w:jc w:val="center"/>
              <w:rPr>
                <w:rFonts w:hint="eastAsia" w:eastAsiaTheme="minorEastAsia"/>
                <w:vertAlign w:val="baseline"/>
                <w:lang w:val="en-US" w:eastAsia="zh-CN"/>
              </w:rPr>
            </w:pPr>
          </w:p>
        </w:tc>
        <w:tc>
          <w:tcPr>
            <w:tcW w:w="2130" w:type="dxa"/>
            <w:vMerge w:val="continue"/>
          </w:tcPr>
          <w:p>
            <w:pPr>
              <w:jc w:val="center"/>
              <w:rPr>
                <w:vertAlign w:val="baseline"/>
              </w:rPr>
            </w:pPr>
          </w:p>
        </w:tc>
        <w:tc>
          <w:tcPr>
            <w:tcW w:w="2131" w:type="dxa"/>
          </w:tcPr>
          <w:p>
            <w:pPr>
              <w:jc w:val="center"/>
              <w:rPr>
                <w:rFonts w:hint="eastAsia" w:eastAsiaTheme="minorEastAsia"/>
                <w:vertAlign w:val="baseline"/>
                <w:lang w:val="en-US" w:eastAsia="zh-CN"/>
              </w:rPr>
            </w:pPr>
            <w:r>
              <w:rPr>
                <w:rFonts w:hint="eastAsia"/>
                <w:vertAlign w:val="baseline"/>
                <w:lang w:val="en-US" w:eastAsia="zh-CN"/>
              </w:rPr>
              <w:t>联系邮箱</w:t>
            </w:r>
          </w:p>
        </w:tc>
        <w:tc>
          <w:tcPr>
            <w:tcW w:w="2131"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需求人数</w:t>
            </w:r>
          </w:p>
        </w:tc>
        <w:tc>
          <w:tcPr>
            <w:tcW w:w="2130" w:type="dxa"/>
            <w:vAlign w:val="bottom"/>
          </w:tcPr>
          <w:p>
            <w:pPr>
              <w:keepNext w:val="0"/>
              <w:keepLines w:val="0"/>
              <w:widowControl/>
              <w:suppressLineNumbers w:val="0"/>
              <w:jc w:val="center"/>
              <w:textAlignment w:val="bottom"/>
              <w:rPr>
                <w:vertAlign w:val="baseline"/>
              </w:rPr>
            </w:pPr>
            <w:r>
              <w:rPr>
                <w:rFonts w:hint="default" w:ascii="Arial" w:hAnsi="Arial" w:eastAsia="宋体" w:cs="Arial"/>
                <w:i w:val="0"/>
                <w:color w:val="000000"/>
                <w:kern w:val="0"/>
                <w:sz w:val="20"/>
                <w:szCs w:val="20"/>
                <w:u w:val="none"/>
                <w:lang w:val="en-US" w:eastAsia="zh-CN" w:bidi="ar"/>
              </w:rPr>
              <w:t>若干</w:t>
            </w:r>
          </w:p>
        </w:tc>
        <w:tc>
          <w:tcPr>
            <w:tcW w:w="2131" w:type="dxa"/>
          </w:tcPr>
          <w:p>
            <w:pPr>
              <w:jc w:val="center"/>
              <w:rPr>
                <w:rFonts w:hint="eastAsia" w:eastAsiaTheme="minorEastAsia"/>
                <w:vertAlign w:val="baseline"/>
                <w:lang w:val="en-US" w:eastAsia="zh-CN"/>
              </w:rPr>
            </w:pPr>
            <w:r>
              <w:rPr>
                <w:rFonts w:hint="eastAsia"/>
                <w:vertAlign w:val="baseline"/>
                <w:lang w:val="en-US" w:eastAsia="zh-CN"/>
              </w:rPr>
              <w:t>工资待遇</w:t>
            </w:r>
          </w:p>
        </w:tc>
        <w:tc>
          <w:tcPr>
            <w:tcW w:w="2131"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jc w:val="center"/>
              <w:rPr>
                <w:rFonts w:hint="default"/>
                <w:vertAlign w:val="baseline"/>
                <w:lang w:val="en-US" w:eastAsia="zh-CN"/>
              </w:rPr>
            </w:pPr>
            <w:r>
              <w:rPr>
                <w:rFonts w:hint="eastAsia"/>
                <w:vertAlign w:val="baseline"/>
                <w:lang w:val="en-US" w:eastAsia="zh-CN"/>
              </w:rPr>
              <w:t>通讯地址</w:t>
            </w:r>
          </w:p>
        </w:tc>
        <w:tc>
          <w:tcPr>
            <w:tcW w:w="6392" w:type="dxa"/>
            <w:gridSpan w:val="3"/>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用人要求</w:t>
            </w:r>
          </w:p>
        </w:tc>
        <w:tc>
          <w:tcPr>
            <w:tcW w:w="6392" w:type="dxa"/>
            <w:gridSpan w:val="3"/>
          </w:tcPr>
          <w:p>
            <w:pPr>
              <w:jc w:val="center"/>
              <w:rPr>
                <w:vertAlign w:val="baseline"/>
              </w:rPr>
            </w:pPr>
            <w:r>
              <w:rPr>
                <w:rFonts w:hint="eastAsia"/>
                <w:vertAlign w:val="baseline"/>
              </w:rPr>
              <w:t>对新零售和社群领域有浓厚兴趣，可接纳短期实习生和暑期实习生。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130" w:type="dxa"/>
          </w:tcPr>
          <w:p>
            <w:pPr>
              <w:jc w:val="center"/>
              <w:rPr>
                <w:rFonts w:hint="eastAsia" w:eastAsiaTheme="minorEastAsia"/>
                <w:vertAlign w:val="baseline"/>
                <w:lang w:val="en-US" w:eastAsia="zh-CN"/>
              </w:rPr>
            </w:pPr>
            <w:r>
              <w:rPr>
                <w:rFonts w:hint="eastAsia"/>
                <w:vertAlign w:val="baseline"/>
                <w:lang w:val="en-US" w:eastAsia="zh-CN"/>
              </w:rPr>
              <w:t>单位简介</w:t>
            </w:r>
          </w:p>
        </w:tc>
        <w:tc>
          <w:tcPr>
            <w:tcW w:w="6392" w:type="dxa"/>
            <w:gridSpan w:val="3"/>
          </w:tcPr>
          <w:p>
            <w:pPr>
              <w:jc w:val="left"/>
              <w:rPr>
                <w:vertAlign w:val="baseline"/>
              </w:rPr>
            </w:pPr>
            <w:r>
              <w:rPr>
                <w:rFonts w:hint="eastAsia"/>
                <w:vertAlign w:val="baseline"/>
              </w:rPr>
              <w:t>福建向峰贸易有限公司，是一家集生产，科研，产品开发，销售于一体的国家认证多元化高新企业</w:t>
            </w:r>
            <w:r>
              <w:rPr>
                <w:rFonts w:hint="eastAsia"/>
                <w:vertAlign w:val="baseline"/>
                <w:lang w:eastAsia="zh-CN"/>
              </w:rPr>
              <w:t>，</w:t>
            </w:r>
            <w:r>
              <w:rPr>
                <w:rFonts w:hint="eastAsia"/>
                <w:vertAlign w:val="baseline"/>
                <w:lang w:val="en-US" w:eastAsia="zh-CN"/>
              </w:rPr>
              <w:t>是网络药品有限公司。</w:t>
            </w:r>
            <w:r>
              <w:rPr>
                <w:rFonts w:hint="eastAsia"/>
                <w:vertAlign w:val="baseline"/>
              </w:rPr>
              <w:t>工厂位于福建省福州市闽侯县宏德盛科技园，销售办公处位于福建省福州市仓山区 仓山万达。2007 年同安堂商标品牌正式成立，获得了省卫计委颁发的消毒产品卫生生产许 可证。以及福州市市场监督管理局颁发的一类医疗器械产品生产备案许可证。公司成立至今 一直以“诚信为基础”“质量为生存”“客户为中心”“双赢为目的”的经营理念。严格执行， 以高质量，高标准为最低要求，赢得了广大客户和消费者的认可，目前产品销售地区已经覆 盖全国 200+个城市，并在全国设有 2000+家合作代理商，以及线下门店数超 10000 家。</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1B00DE"/>
    <w:rsid w:val="4ED620BC"/>
    <w:rsid w:val="5A924E6D"/>
    <w:rsid w:val="61BC2F29"/>
    <w:rsid w:val="74F8779D"/>
    <w:rsid w:val="7F524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Office_10.1.0.6660_F1E327BC-269C-435d-A152-05C5408002CA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2021-01-21T09:58:00Z</dcterms:created>
  <dc:creator>admin</dc:creator>
  <cp:lastModifiedBy>ASUS</cp:lastModifiedBy>
  <dcterms:modified xsi:type="dcterms:W3CDTF">2021-06-10T08:20:43Z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