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vertAlign w:val="baseline"/>
          <w:lang w:val="en-US" w:eastAsia="zh-CN"/>
        </w:rPr>
      </w:pPr>
      <w:r>
        <w:rPr>
          <w:rFonts w:hint="eastAsia"/>
          <w:vertAlign w:val="baseline"/>
          <w:lang w:val="en-US" w:eastAsia="zh-CN"/>
        </w:rPr>
        <w:t>福建树人教育科技股份有限公司招聘启事</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tcPr>
          <w:p>
            <w:pPr>
              <w:jc w:val="center"/>
              <w:rPr>
                <w:rFonts w:hint="default" w:eastAsiaTheme="minorEastAsia"/>
                <w:vertAlign w:val="baseline"/>
                <w:lang w:val="en-US" w:eastAsia="zh-CN"/>
              </w:rPr>
            </w:pPr>
            <w:r>
              <w:rPr>
                <w:rFonts w:hint="default" w:eastAsiaTheme="minorEastAsia"/>
                <w:vertAlign w:val="baseline"/>
                <w:lang w:val="en-US" w:eastAsia="zh-CN"/>
              </w:rPr>
              <w:t>福建树人教育科技股份有限公司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vAlign w:val="bottom"/>
          </w:tcPr>
          <w:p>
            <w:pPr>
              <w:keepNext w:val="0"/>
              <w:keepLines w:val="0"/>
              <w:widowControl/>
              <w:suppressLineNumbers w:val="0"/>
              <w:jc w:val="center"/>
              <w:textAlignment w:val="bottom"/>
              <w:rPr>
                <w:rFonts w:hint="default" w:ascii="Arial" w:hAnsi="Arial" w:cs="Arial" w:eastAsiaTheme="minorEastAsia"/>
                <w:i w:val="0"/>
                <w:color w:val="000000"/>
                <w:kern w:val="2"/>
                <w:sz w:val="20"/>
                <w:szCs w:val="20"/>
                <w:u w:val="none"/>
                <w:lang w:val="en-US" w:eastAsia="zh-CN" w:bidi="ar-SA"/>
              </w:rPr>
            </w:pPr>
            <w:r>
              <w:rPr>
                <w:rFonts w:hint="eastAsia" w:ascii="Arial" w:hAnsi="Arial" w:cs="Arial"/>
                <w:i w:val="0"/>
                <w:color w:val="000000"/>
                <w:kern w:val="2"/>
                <w:sz w:val="20"/>
                <w:szCs w:val="20"/>
                <w:u w:val="none"/>
                <w:lang w:val="en-US" w:eastAsia="zh-CN" w:bidi="ar-SA"/>
              </w:rPr>
              <w:t>刘珠希</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tcPr>
          <w:p>
            <w:pPr>
              <w:jc w:val="center"/>
              <w:rPr>
                <w:vertAlign w:val="baseline"/>
              </w:rPr>
            </w:pPr>
            <w:r>
              <w:rPr>
                <w:rFonts w:hint="eastAsia"/>
              </w:rPr>
              <w:t>18059176781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tcPr>
          <w:p>
            <w:pPr>
              <w:jc w:val="center"/>
              <w:rPr>
                <w:rFonts w:hint="eastAsia"/>
                <w:vertAlign w:val="baseline"/>
                <w:lang w:val="en-US" w:eastAsia="zh-CN"/>
              </w:rPr>
            </w:pPr>
            <w:r>
              <w:rPr>
                <w:rFonts w:hint="eastAsia"/>
                <w:vertAlign w:val="baseline"/>
                <w:lang w:val="en-US" w:eastAsia="zh-CN"/>
              </w:rPr>
              <w:t>1.美术教育（1）</w:t>
            </w:r>
          </w:p>
          <w:p>
            <w:pPr>
              <w:jc w:val="center"/>
              <w:rPr>
                <w:rFonts w:hint="eastAsia"/>
                <w:vertAlign w:val="baseline"/>
                <w:lang w:val="en-US" w:eastAsia="zh-CN"/>
              </w:rPr>
            </w:pPr>
            <w:r>
              <w:rPr>
                <w:rFonts w:hint="eastAsia"/>
                <w:vertAlign w:val="baseline"/>
                <w:lang w:val="en-US" w:eastAsia="zh-CN"/>
              </w:rPr>
              <w:t>2.音乐教育（1）</w:t>
            </w:r>
          </w:p>
          <w:p>
            <w:pPr>
              <w:jc w:val="center"/>
              <w:rPr>
                <w:rFonts w:hint="eastAsia"/>
                <w:vertAlign w:val="baseline"/>
                <w:lang w:val="en-US" w:eastAsia="zh-CN"/>
              </w:rPr>
            </w:pPr>
            <w:r>
              <w:rPr>
                <w:rFonts w:hint="eastAsia"/>
                <w:vertAlign w:val="baseline"/>
                <w:lang w:val="en-US" w:eastAsia="zh-CN"/>
              </w:rPr>
              <w:t>3.工艺美术品设计（1）</w:t>
            </w:r>
          </w:p>
          <w:p>
            <w:pPr>
              <w:jc w:val="center"/>
              <w:rPr>
                <w:rFonts w:hint="eastAsia"/>
                <w:vertAlign w:val="baseline"/>
                <w:lang w:val="en-US" w:eastAsia="zh-CN"/>
              </w:rPr>
            </w:pPr>
            <w:r>
              <w:rPr>
                <w:rFonts w:hint="eastAsia"/>
                <w:vertAlign w:val="baseline"/>
                <w:lang w:val="en-US" w:eastAsia="zh-CN"/>
              </w:rPr>
              <w:t>4.公共文化服务与管理（1）</w:t>
            </w:r>
          </w:p>
          <w:p>
            <w:pPr>
              <w:jc w:val="center"/>
              <w:rPr>
                <w:rFonts w:hint="eastAsia"/>
                <w:vertAlign w:val="baseline"/>
                <w:lang w:val="en-US" w:eastAsia="zh-CN"/>
              </w:rPr>
            </w:pPr>
            <w:r>
              <w:rPr>
                <w:rFonts w:hint="eastAsia"/>
                <w:vertAlign w:val="baseline"/>
                <w:lang w:val="en-US" w:eastAsia="zh-CN"/>
              </w:rPr>
              <w:t>5.首饰设计与工艺（1）</w:t>
            </w:r>
          </w:p>
          <w:p>
            <w:pPr>
              <w:jc w:val="center"/>
              <w:rPr>
                <w:rFonts w:hint="eastAsia"/>
                <w:vertAlign w:val="baseline"/>
                <w:lang w:val="en-US" w:eastAsia="zh-CN"/>
              </w:rPr>
            </w:pPr>
            <w:r>
              <w:rPr>
                <w:rFonts w:hint="eastAsia"/>
                <w:vertAlign w:val="baseline"/>
                <w:lang w:val="en-US" w:eastAsia="zh-CN"/>
              </w:rPr>
              <w:t>6.艺术设计（1）</w:t>
            </w:r>
          </w:p>
          <w:p>
            <w:pPr>
              <w:jc w:val="center"/>
              <w:rPr>
                <w:rFonts w:hint="eastAsia"/>
                <w:vertAlign w:val="baseline"/>
                <w:lang w:val="en-US" w:eastAsia="zh-CN"/>
              </w:rPr>
            </w:pPr>
            <w:r>
              <w:rPr>
                <w:rFonts w:hint="eastAsia"/>
                <w:vertAlign w:val="baseline"/>
                <w:lang w:val="en-US" w:eastAsia="zh-CN"/>
              </w:rPr>
              <w:t>7.科学教育（1）</w:t>
            </w:r>
          </w:p>
          <w:p>
            <w:pPr>
              <w:jc w:val="center"/>
              <w:rPr>
                <w:rFonts w:hint="eastAsia"/>
                <w:vertAlign w:val="baseline"/>
                <w:lang w:val="en-US" w:eastAsia="zh-CN"/>
              </w:rPr>
            </w:pPr>
            <w:r>
              <w:rPr>
                <w:rFonts w:hint="eastAsia"/>
                <w:vertAlign w:val="baseline"/>
                <w:lang w:val="en-US" w:eastAsia="zh-CN"/>
              </w:rPr>
              <w:t>8.嵌入式技术与应用(创客机器人方向)（1）</w:t>
            </w:r>
          </w:p>
          <w:p>
            <w:pPr>
              <w:jc w:val="center"/>
              <w:rPr>
                <w:rFonts w:hint="eastAsia"/>
                <w:vertAlign w:val="baseline"/>
                <w:lang w:val="en-US" w:eastAsia="zh-CN"/>
              </w:rPr>
            </w:pPr>
            <w:r>
              <w:rPr>
                <w:rFonts w:hint="eastAsia"/>
                <w:vertAlign w:val="baseline"/>
                <w:lang w:val="en-US" w:eastAsia="zh-CN"/>
              </w:rPr>
              <w:t>9.青少年工作与管理（1）</w:t>
            </w:r>
          </w:p>
          <w:p>
            <w:pPr>
              <w:jc w:val="center"/>
              <w:rPr>
                <w:rFonts w:hint="eastAsia"/>
                <w:vertAlign w:val="baseline"/>
                <w:lang w:val="en-US" w:eastAsia="zh-CN"/>
              </w:rPr>
            </w:pPr>
            <w:r>
              <w:rPr>
                <w:rFonts w:hint="eastAsia"/>
                <w:vertAlign w:val="baseline"/>
                <w:lang w:val="en-US" w:eastAsia="zh-CN"/>
              </w:rPr>
              <w:t>10.现代教育技术（1）</w:t>
            </w:r>
          </w:p>
          <w:p>
            <w:pPr>
              <w:jc w:val="center"/>
              <w:rPr>
                <w:rFonts w:hint="eastAsia"/>
                <w:vertAlign w:val="baseline"/>
                <w:lang w:val="en-US" w:eastAsia="zh-CN"/>
              </w:rPr>
            </w:pPr>
            <w:r>
              <w:rPr>
                <w:rFonts w:hint="eastAsia"/>
                <w:vertAlign w:val="baseline"/>
                <w:lang w:val="en-US" w:eastAsia="zh-CN"/>
              </w:rPr>
              <w:t>11.数学教育（1）</w:t>
            </w:r>
          </w:p>
          <w:p>
            <w:pPr>
              <w:jc w:val="center"/>
              <w:rPr>
                <w:rFonts w:hint="eastAsia"/>
                <w:vertAlign w:val="baseline"/>
                <w:lang w:val="en-US" w:eastAsia="zh-CN"/>
              </w:rPr>
            </w:pPr>
            <w:r>
              <w:rPr>
                <w:rFonts w:hint="eastAsia"/>
                <w:vertAlign w:val="baseline"/>
                <w:lang w:val="en-US" w:eastAsia="zh-CN"/>
              </w:rPr>
              <w:t>12.数字展示技术(虚拟现实VR方向)（1）</w:t>
            </w:r>
          </w:p>
          <w:p>
            <w:pPr>
              <w:jc w:val="center"/>
              <w:rPr>
                <w:rFonts w:hint="eastAsia"/>
                <w:vertAlign w:val="baseline"/>
                <w:lang w:val="en-US" w:eastAsia="zh-CN"/>
              </w:rPr>
            </w:pPr>
            <w:r>
              <w:rPr>
                <w:rFonts w:hint="eastAsia"/>
                <w:vertAlign w:val="baseline"/>
                <w:lang w:val="en-US" w:eastAsia="zh-CN"/>
              </w:rPr>
              <w:t>13.小学教育(综合文科教育)（1）</w:t>
            </w:r>
          </w:p>
          <w:p>
            <w:pPr>
              <w:jc w:val="center"/>
              <w:rPr>
                <w:rFonts w:hint="eastAsia"/>
                <w:vertAlign w:val="baseline"/>
                <w:lang w:val="en-US" w:eastAsia="zh-CN"/>
              </w:rPr>
            </w:pPr>
            <w:r>
              <w:rPr>
                <w:rFonts w:hint="eastAsia"/>
                <w:vertAlign w:val="baseline"/>
                <w:lang w:val="en-US" w:eastAsia="zh-CN"/>
              </w:rPr>
              <w:t>14.小学教育(综合理科教育)（1）</w:t>
            </w:r>
          </w:p>
          <w:p>
            <w:pPr>
              <w:jc w:val="center"/>
              <w:rPr>
                <w:rFonts w:hint="eastAsia"/>
                <w:vertAlign w:val="baseline"/>
                <w:lang w:val="en-US" w:eastAsia="zh-CN"/>
              </w:rPr>
            </w:pPr>
            <w:r>
              <w:rPr>
                <w:rFonts w:hint="eastAsia"/>
                <w:vertAlign w:val="baseline"/>
                <w:lang w:val="en-US" w:eastAsia="zh-CN"/>
              </w:rPr>
              <w:t>15.应用英语(幼儿双语方向)（1）</w:t>
            </w:r>
          </w:p>
          <w:p>
            <w:pPr>
              <w:jc w:val="center"/>
              <w:rPr>
                <w:rFonts w:hint="eastAsia"/>
                <w:vertAlign w:val="baseline"/>
                <w:lang w:val="en-US" w:eastAsia="zh-CN"/>
              </w:rPr>
            </w:pPr>
            <w:r>
              <w:rPr>
                <w:rFonts w:hint="eastAsia"/>
                <w:vertAlign w:val="baseline"/>
                <w:lang w:val="en-US" w:eastAsia="zh-CN"/>
              </w:rPr>
              <w:t>16.英语教育（1）</w:t>
            </w:r>
          </w:p>
          <w:p>
            <w:pPr>
              <w:jc w:val="center"/>
              <w:rPr>
                <w:rFonts w:hint="eastAsia"/>
                <w:vertAlign w:val="baseline"/>
                <w:lang w:val="en-US" w:eastAsia="zh-CN"/>
              </w:rPr>
            </w:pPr>
            <w:r>
              <w:rPr>
                <w:rFonts w:hint="eastAsia"/>
                <w:vertAlign w:val="baseline"/>
                <w:lang w:val="en-US" w:eastAsia="zh-CN"/>
              </w:rPr>
              <w:t>17.幼儿发展与健康管理（1）</w:t>
            </w:r>
          </w:p>
          <w:p>
            <w:pPr>
              <w:jc w:val="center"/>
              <w:rPr>
                <w:rFonts w:hint="eastAsia"/>
                <w:vertAlign w:val="baseline"/>
                <w:lang w:val="en-US" w:eastAsia="zh-CN"/>
              </w:rPr>
            </w:pPr>
            <w:r>
              <w:rPr>
                <w:rFonts w:hint="eastAsia"/>
                <w:vertAlign w:val="baseline"/>
                <w:lang w:val="en-US" w:eastAsia="zh-CN"/>
              </w:rPr>
              <w:t>18.早期教育（1）</w:t>
            </w:r>
          </w:p>
          <w:p>
            <w:pPr>
              <w:jc w:val="center"/>
              <w:rPr>
                <w:rFonts w:hint="eastAsia"/>
                <w:vertAlign w:val="baseline"/>
                <w:lang w:val="en-US" w:eastAsia="zh-CN"/>
              </w:rPr>
            </w:pPr>
            <w:r>
              <w:rPr>
                <w:rFonts w:hint="eastAsia"/>
                <w:vertAlign w:val="baseline"/>
                <w:lang w:val="en-US" w:eastAsia="zh-CN"/>
              </w:rPr>
              <w:t>19.特殊教育（1）</w:t>
            </w:r>
          </w:p>
          <w:p>
            <w:pPr>
              <w:jc w:val="center"/>
              <w:rPr>
                <w:rFonts w:hint="eastAsia"/>
                <w:vertAlign w:val="baseline"/>
                <w:lang w:val="en-US" w:eastAsia="zh-CN"/>
              </w:rPr>
            </w:pPr>
            <w:r>
              <w:rPr>
                <w:rFonts w:hint="eastAsia"/>
                <w:vertAlign w:val="baseline"/>
                <w:lang w:val="en-US" w:eastAsia="zh-CN"/>
              </w:rPr>
              <w:t>20.学前教育（1）</w:t>
            </w:r>
          </w:p>
          <w:p>
            <w:pPr>
              <w:jc w:val="center"/>
              <w:rPr>
                <w:rFonts w:hint="default"/>
                <w:vertAlign w:val="baseline"/>
                <w:lang w:val="en-US" w:eastAsia="zh-CN"/>
              </w:rPr>
            </w:pPr>
            <w:bookmarkStart w:id="0" w:name="_GoBack"/>
            <w:bookmarkEnd w:id="0"/>
            <w:r>
              <w:rPr>
                <w:rFonts w:hint="eastAsia"/>
                <w:vertAlign w:val="baseline"/>
                <w:lang w:val="en-US" w:eastAsia="zh-CN"/>
              </w:rPr>
              <w:t>实招人数：100</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numPr>
                <w:ilvl w:val="0"/>
                <w:numId w:val="1"/>
              </w:numPr>
              <w:jc w:val="center"/>
              <w:rPr>
                <w:rFonts w:hint="eastAsia"/>
              </w:rPr>
            </w:pPr>
            <w:r>
              <w:rPr>
                <w:rFonts w:hint="eastAsia"/>
              </w:rPr>
              <w:t>辅导老师  （综合工资4000元~7000元）</w:t>
            </w:r>
          </w:p>
          <w:p>
            <w:pPr>
              <w:numPr>
                <w:ilvl w:val="0"/>
                <w:numId w:val="1"/>
              </w:numPr>
              <w:jc w:val="center"/>
              <w:rPr>
                <w:rFonts w:hint="eastAsia" w:eastAsiaTheme="minorEastAsia"/>
                <w:vertAlign w:val="baseline"/>
                <w:lang w:val="en-US" w:eastAsia="zh-CN"/>
              </w:rPr>
            </w:pPr>
            <w:r>
              <w:rPr>
                <w:rFonts w:hint="eastAsia"/>
              </w:rPr>
              <w:t xml:space="preserve">储备干部（5000元~8000元）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tcPr>
          <w:p>
            <w:pPr>
              <w:jc w:val="center"/>
              <w:rPr>
                <w:vertAlign w:val="baseline"/>
              </w:rPr>
            </w:pPr>
            <w:r>
              <w:rPr>
                <w:rFonts w:hint="eastAsia"/>
              </w:rPr>
              <w:t xml:space="preserve">招聘岗位： </w:t>
            </w:r>
            <w:r>
              <w:rPr>
                <w:rFonts w:hint="eastAsia"/>
                <w:lang w:val="en-US" w:eastAsia="zh-CN"/>
              </w:rPr>
              <w:t>一、</w:t>
            </w:r>
            <w:r>
              <w:rPr>
                <w:rFonts w:hint="eastAsia"/>
              </w:rPr>
              <w:t xml:space="preserve">岗位名称：辅导老师  （综合工资4000元~7000元） 1、大专及以上学历，专业不限； 2、热爱教育事业、有爱心、有责任心 、有亲和力、品行端正； 3、负责学生在园点托管期间的事务，如接送、作业辅导、习惯养成、心理辅导等。   福利待遇： 1、包吃包住、周末双休、法定假期； 2、底薪+奖金，薪资上不封顶； 3、带薪培训、弹性福利、创业补贴； 4、公平公正的晋升平台，一份永久的事业； 5、晋升通道：初级老师→中级老师→高级老师（园长助理）→园长。   </w:t>
            </w:r>
            <w:r>
              <w:rPr>
                <w:rFonts w:hint="eastAsia"/>
                <w:lang w:val="en-US" w:eastAsia="zh-CN"/>
              </w:rPr>
              <w:t>二、</w:t>
            </w:r>
            <w:r>
              <w:rPr>
                <w:rFonts w:hint="eastAsia"/>
              </w:rPr>
              <w:t>岗位名称：储备干部（5000元~8000元） 1、本科及以上学历,专业不限； 2、逻辑思维清晰，阳光开朗； 3、沟通及表达能力强，勤奋上进； 4、诚实守信、有一定的抗压能力。   福利待遇： 1、高底薪+绩效奖金、创业补贴； 2、管理、专业双通道的健全职业发展通道、进阶式人才培养体系； 3、正心诚意的办公氛围； 4、公平公正的晋升平台，一份永久的事业； 5、晋升通道：各部门轮岗→核心骨干→部门负责人。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tcPr>
          <w:p>
            <w:pPr>
              <w:jc w:val="center"/>
              <w:rPr>
                <w:rFonts w:hint="eastAsia"/>
                <w:vertAlign w:val="baseline"/>
              </w:rPr>
            </w:pPr>
            <w:r>
              <w:rPr>
                <w:rFonts w:hint="eastAsia"/>
                <w:vertAlign w:val="baseline"/>
              </w:rPr>
              <w:t>福建树人教育科技股份有限公司，是一家专注于小学生课后服务、综合素质培养及衍生产品开发运营的新型教育科技企业。公司是福建省家庭服务业协会托管专业委员会主要发起人暨主任单位。公司潜心打造的规范化、标准化管理模式于2016年顺利通过了ISO9001:2008质量管理体系的认证，并以“11大系统、60个模块、173个标准”引领托管行业规范化建设方向。</w:t>
            </w:r>
          </w:p>
          <w:p>
            <w:pPr>
              <w:jc w:val="center"/>
              <w:rPr>
                <w:rFonts w:hint="eastAsia"/>
                <w:vertAlign w:val="baseline"/>
              </w:rPr>
            </w:pPr>
            <w:r>
              <w:rPr>
                <w:rFonts w:hint="eastAsia"/>
                <w:vertAlign w:val="baseline"/>
              </w:rPr>
              <w:t> </w:t>
            </w:r>
          </w:p>
          <w:p>
            <w:pPr>
              <w:jc w:val="center"/>
              <w:rPr>
                <w:rFonts w:hint="eastAsia"/>
                <w:vertAlign w:val="baseline"/>
              </w:rPr>
            </w:pPr>
            <w:r>
              <w:rPr>
                <w:rFonts w:hint="eastAsia"/>
                <w:vertAlign w:val="baseline"/>
              </w:rPr>
              <w:t>公司旗下树人托管连锁机构，面向小学生开展高品质课后服务，专业从事小学生课后服务已有20年，现有连锁园点926余家，业务范围遍及福建、山东、广东、江西等全国19个省份，70多个城市，在多个城市占据同类市场优势地位。</w:t>
            </w:r>
          </w:p>
          <w:p>
            <w:pPr>
              <w:jc w:val="center"/>
              <w:rPr>
                <w:vertAlign w:val="baseline"/>
              </w:rPr>
            </w:pPr>
            <w:r>
              <w:rPr>
                <w:rFonts w:hint="eastAsia"/>
                <w:vertAlign w:val="baseline"/>
              </w:rPr>
              <w:t>树人托管连锁机构同步服务学生近5万人，二十年来，累计陪伴近43万学生健康成长，以高品质的服务及良好的市场口碑，成为备受万千家长信任的小学生课后服务机构。</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A9EFBB"/>
    <w:multiLevelType w:val="singleLevel"/>
    <w:tmpl w:val="BAA9EF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11ECE"/>
    <w:rsid w:val="08CB328D"/>
    <w:rsid w:val="30B14692"/>
    <w:rsid w:val="3D1B00DE"/>
    <w:rsid w:val="42CC20B9"/>
    <w:rsid w:val="4ED620BC"/>
    <w:rsid w:val="61BC2F29"/>
    <w:rsid w:val="68BB457B"/>
    <w:rsid w:val="74F8779D"/>
    <w:rsid w:val="7D6D1072"/>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2021-01-21T09:58:00Z</dcterms:created>
  <dc:creator>admin</dc:creator>
  <cp:lastModifiedBy>拾</cp:lastModifiedBy>
  <dcterms:modified xsi:type="dcterms:W3CDTF">2021-06-09T13:05:19Z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