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5B6D5">
      <w:pPr>
        <w:jc w:val="left"/>
        <w:rPr>
          <w:rStyle w:val="7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 w14:paraId="7478F930">
      <w:pPr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202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年度福建省中青年教师教育科研项目（社科类）一般项目</w:t>
      </w:r>
    </w:p>
    <w:p w14:paraId="6C8D05D8">
      <w:pPr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及高校辅导员研究专项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拟推荐项目汇总表</w:t>
      </w:r>
    </w:p>
    <w:p w14:paraId="45C6BA44">
      <w:pPr>
        <w:pStyle w:val="4"/>
        <w:rPr>
          <w:rFonts w:hint="eastAsia"/>
        </w:rPr>
      </w:pPr>
    </w:p>
    <w:tbl>
      <w:tblPr>
        <w:tblStyle w:val="5"/>
        <w:tblpPr w:leftFromText="180" w:rightFromText="180" w:vertAnchor="text" w:horzAnchor="page" w:tblpX="2022" w:tblpY="290"/>
        <w:tblOverlap w:val="never"/>
        <w:tblW w:w="8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045"/>
        <w:gridCol w:w="1328"/>
      </w:tblGrid>
      <w:tr w14:paraId="1C73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D3B2C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省中青年教师教育科研项目（社科类）一般项目</w:t>
            </w:r>
          </w:p>
        </w:tc>
      </w:tr>
      <w:tr w14:paraId="2899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FDECB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D7E7F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082D9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 w14:paraId="76EFD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0518"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E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建构主义视域下福建非遗文化赋能高职学前舞蹈教育的应用研究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1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李吉祥</w:t>
            </w:r>
          </w:p>
        </w:tc>
      </w:tr>
      <w:tr w14:paraId="543DC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3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0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基层社会治理视域下乡村社会组织培育的本土化路径研究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1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何洪越</w:t>
            </w:r>
          </w:p>
        </w:tc>
      </w:tr>
      <w:tr w14:paraId="6C6FD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E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0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生成式AI应用于福建乡村文旅视觉资产开发的产教融合路径研究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35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孙鋆</w:t>
            </w:r>
          </w:p>
        </w:tc>
      </w:tr>
      <w:tr w14:paraId="4795B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8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3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中国式现代化背景下养老照护人才培养体系优化研究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B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张楚淇</w:t>
            </w:r>
          </w:p>
        </w:tc>
      </w:tr>
      <w:bookmarkEnd w:id="0"/>
      <w:tr w14:paraId="5FD9F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1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  <w:t>高校辅导员研究专项</w:t>
            </w:r>
          </w:p>
        </w:tc>
      </w:tr>
      <w:tr w14:paraId="24704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4809F">
            <w:pPr>
              <w:widowControl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C5E66"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4EDE3">
            <w:pPr>
              <w:widowControl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 w14:paraId="5FD0B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2C306"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人工智能背景下高校网络思想政治教育阵地的影响力提升研究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B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谢慧超</w:t>
            </w:r>
          </w:p>
        </w:tc>
      </w:tr>
      <w:tr w14:paraId="7D37A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7FF03">
            <w:pPr>
              <w:widowControl/>
              <w:jc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网络群体极化对高职学生的影响及应对策略研究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2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高瑜玲</w:t>
            </w:r>
          </w:p>
        </w:tc>
      </w:tr>
    </w:tbl>
    <w:p w14:paraId="78E654B2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2772A310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5286F6E0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10B109DF"/>
    <w:rsid w:val="11F1761D"/>
    <w:rsid w:val="13B24715"/>
    <w:rsid w:val="1A2677A8"/>
    <w:rsid w:val="1CE56F3E"/>
    <w:rsid w:val="1F31003B"/>
    <w:rsid w:val="21336F8E"/>
    <w:rsid w:val="2CB31B43"/>
    <w:rsid w:val="2CD94E8D"/>
    <w:rsid w:val="30FE7EC3"/>
    <w:rsid w:val="31B419DB"/>
    <w:rsid w:val="36E7464B"/>
    <w:rsid w:val="390E1EA5"/>
    <w:rsid w:val="3C3C7B42"/>
    <w:rsid w:val="3F7F0414"/>
    <w:rsid w:val="420F0530"/>
    <w:rsid w:val="430B283F"/>
    <w:rsid w:val="45444CD8"/>
    <w:rsid w:val="46DC3AA0"/>
    <w:rsid w:val="4C17073E"/>
    <w:rsid w:val="4E7605EE"/>
    <w:rsid w:val="50B03581"/>
    <w:rsid w:val="52E53CDC"/>
    <w:rsid w:val="5DEA6552"/>
    <w:rsid w:val="673E5DAC"/>
    <w:rsid w:val="7521699E"/>
    <w:rsid w:val="79C30024"/>
    <w:rsid w:val="7D6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323</Characters>
  <Lines>0</Lines>
  <Paragraphs>0</Paragraphs>
  <TotalTime>0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2025-09-16T09:31:33Z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5DA5A4885B844F55A58C6F6C1B56F611_13</vt:lpwstr>
  </property>
  <property fmtid="{D5CDD505-2E9C-101B-9397-08002B2CF9AE}" pid="4" name="KSOTemplateDocerSaveRecord">
    <vt:lpwstr>eyJoZGlkIjoiYmZiMTMzNWQ5MDlmZGYxZTQ5ZGNmY2QwMmExNTAwZGEiLCJ1c2VySWQiOiIzNzA2MTc3MDkifQ==</vt:lpwstr>
  </property>
</Properties>
</file>