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仿宋_GB2312" w:hAnsi="宋体" w:eastAsia="仿宋_GB2312"/>
          <w:color w:val="000000"/>
          <w:sz w:val="32"/>
          <w:szCs w:val="32"/>
        </w:rPr>
      </w:pPr>
      <w:bookmarkStart w:id="1" w:name="_GoBack"/>
      <w:bookmarkEnd w:id="1"/>
      <w:r>
        <w:pict>
          <v:shape id="_x0000_s1026" o:spid="_x0000_s1026" o:spt="202" type="#_x0000_t202" style="position:absolute;left:0pt;margin-left:77.95pt;margin-top:86.8pt;height:181.65pt;width:439.35pt;mso-position-horizontal-relative:page;mso-position-vertical-relative:margin;z-index:251659264;mso-width-relative:page;mso-height-relative:page;" filled="f" stroked="f" coordsize="21600,21600">
            <v:path/>
            <v:fill on="f" focussize="0,0"/>
            <v:stroke on="f" joinstyle="miter"/>
            <v:imagedata o:title=""/>
            <o:lock v:ext="edit"/>
            <v:textbox inset="0mm,0mm,0mm,0mm">
              <w:txbxContent>
                <w:p>
                  <w:pPr>
                    <w:spacing w:line="1880" w:lineRule="exact"/>
                    <w:jc w:val="center"/>
                    <w:rPr>
                      <w:rFonts w:ascii="宋体"/>
                      <w:b/>
                      <w:bCs/>
                      <w:color w:val="FF0000"/>
                      <w:spacing w:val="20"/>
                      <w:w w:val="56"/>
                      <w:sz w:val="100"/>
                      <w:szCs w:val="100"/>
                    </w:rPr>
                  </w:pPr>
                  <w:r>
                    <w:rPr>
                      <w:rFonts w:hint="eastAsia" w:ascii="宋体" w:hAnsi="宋体"/>
                      <w:b/>
                      <w:bCs/>
                      <w:color w:val="FF0000"/>
                      <w:spacing w:val="20"/>
                      <w:w w:val="56"/>
                      <w:sz w:val="100"/>
                      <w:szCs w:val="100"/>
                      <w:lang w:val="zh-CN"/>
                    </w:rPr>
                    <w:t>福建幼儿师范高等专科学校文件</w:t>
                  </w:r>
                </w:p>
              </w:txbxContent>
            </v:textbox>
          </v:shape>
        </w:pict>
      </w:r>
      <w:r>
        <w:pict>
          <v:shape id="_x0000_s1027" o:spid="_x0000_s1027" o:spt="32" type="#_x0000_t32" style="position:absolute;left:0pt;flip:y;margin-top:348.7pt;height:0.75pt;width:442.5pt;mso-position-horizontal:center;mso-position-horizontal-relative:page;mso-position-vertical-relative:page;z-index:251660288;mso-width-relative:page;mso-height-relative:page;" o:connectortype="straight" filled="f" stroked="t" coordsize="21600,21600">
            <v:path arrowok="t"/>
            <v:fill on="f" focussize="0,0"/>
            <v:stroke weight="3pt" color="#FF0000"/>
            <v:imagedata o:title=""/>
            <o:lock v:ext="edit"/>
          </v:shape>
        </w:pict>
      </w:r>
    </w:p>
    <w:p>
      <w:pPr>
        <w:widowControl/>
        <w:tabs>
          <w:tab w:val="left" w:pos="180"/>
        </w:tabs>
        <w:spacing w:line="570" w:lineRule="exact"/>
        <w:jc w:val="center"/>
        <w:rPr>
          <w:rFonts w:ascii="仿宋_GB2312" w:hAnsi="宋体" w:eastAsia="仿宋_GB2312" w:cs="宋体"/>
          <w:b/>
          <w:bCs/>
          <w:color w:val="000000"/>
          <w:kern w:val="0"/>
          <w:sz w:val="28"/>
          <w:szCs w:val="28"/>
        </w:rPr>
      </w:pPr>
    </w:p>
    <w:p>
      <w:pPr>
        <w:widowControl/>
        <w:tabs>
          <w:tab w:val="left" w:pos="180"/>
        </w:tabs>
        <w:spacing w:line="570" w:lineRule="exact"/>
        <w:jc w:val="center"/>
        <w:rPr>
          <w:rFonts w:ascii="仿宋_GB2312" w:hAnsi="宋体" w:eastAsia="仿宋_GB2312" w:cs="宋体"/>
          <w:b/>
          <w:bCs/>
          <w:color w:val="000000"/>
          <w:kern w:val="0"/>
          <w:sz w:val="28"/>
          <w:szCs w:val="28"/>
        </w:rPr>
      </w:pPr>
    </w:p>
    <w:p>
      <w:pPr>
        <w:widowControl/>
        <w:tabs>
          <w:tab w:val="left" w:pos="180"/>
        </w:tabs>
        <w:spacing w:line="570" w:lineRule="exact"/>
        <w:jc w:val="center"/>
        <w:rPr>
          <w:rFonts w:ascii="仿宋_GB2312" w:hAnsi="宋体" w:eastAsia="仿宋_GB2312" w:cs="宋体"/>
          <w:b/>
          <w:bCs/>
          <w:color w:val="000000"/>
          <w:kern w:val="0"/>
          <w:sz w:val="28"/>
          <w:szCs w:val="28"/>
        </w:rPr>
      </w:pPr>
    </w:p>
    <w:p>
      <w:pPr>
        <w:widowControl/>
        <w:tabs>
          <w:tab w:val="left" w:pos="180"/>
        </w:tabs>
        <w:spacing w:line="570" w:lineRule="exact"/>
        <w:jc w:val="center"/>
        <w:rPr>
          <w:rFonts w:ascii="仿宋_GB2312" w:hAnsi="宋体" w:eastAsia="仿宋_GB2312" w:cs="宋体"/>
          <w:b/>
          <w:bCs/>
          <w:color w:val="000000"/>
          <w:kern w:val="0"/>
          <w:sz w:val="28"/>
          <w:szCs w:val="28"/>
        </w:rPr>
      </w:pPr>
    </w:p>
    <w:p>
      <w:pPr>
        <w:widowControl/>
        <w:tabs>
          <w:tab w:val="left" w:pos="180"/>
        </w:tabs>
        <w:spacing w:line="570" w:lineRule="exact"/>
        <w:jc w:val="center"/>
        <w:rPr>
          <w:rFonts w:ascii="仿宋_GB2312" w:hAnsi="宋体" w:eastAsia="仿宋_GB2312" w:cs="宋体"/>
          <w:b/>
          <w:bCs/>
          <w:color w:val="000000"/>
          <w:kern w:val="0"/>
          <w:sz w:val="28"/>
          <w:szCs w:val="28"/>
        </w:rPr>
      </w:pPr>
    </w:p>
    <w:p>
      <w:pPr>
        <w:spacing w:line="570" w:lineRule="exact"/>
        <w:rPr>
          <w:rFonts w:ascii="仿宋_GB2312" w:hAnsi="宋体" w:eastAsia="仿宋_GB2312"/>
          <w:color w:val="000000"/>
          <w:sz w:val="32"/>
          <w:szCs w:val="32"/>
        </w:rPr>
      </w:pPr>
    </w:p>
    <w:p>
      <w:pPr>
        <w:spacing w:line="570" w:lineRule="exact"/>
        <w:jc w:val="center"/>
        <w:rPr>
          <w:rFonts w:ascii="仿宋_GB2312" w:eastAsia="仿宋_GB2312"/>
          <w:color w:val="000000"/>
          <w:sz w:val="32"/>
          <w:szCs w:val="32"/>
        </w:rPr>
      </w:pPr>
      <w:r>
        <w:rPr>
          <w:rFonts w:hint="eastAsia" w:ascii="仿宋_GB2312" w:eastAsia="仿宋_GB2312"/>
          <w:color w:val="000000"/>
          <w:sz w:val="32"/>
          <w:szCs w:val="32"/>
        </w:rPr>
        <w:t>闽幼高专〔</w:t>
      </w:r>
      <w:r>
        <w:rPr>
          <w:rFonts w:ascii="仿宋_GB2312" w:eastAsia="仿宋_GB2312"/>
          <w:color w:val="000000"/>
          <w:sz w:val="32"/>
          <w:szCs w:val="32"/>
        </w:rPr>
        <w:t>2023</w:t>
      </w:r>
      <w:r>
        <w:rPr>
          <w:rFonts w:hint="eastAsia" w:ascii="仿宋_GB2312" w:eastAsia="仿宋_GB2312"/>
          <w:color w:val="000000"/>
          <w:sz w:val="32"/>
          <w:szCs w:val="32"/>
        </w:rPr>
        <w:t>〕</w:t>
      </w:r>
      <w:r>
        <w:rPr>
          <w:rFonts w:ascii="仿宋_GB2312" w:eastAsia="仿宋_GB2312"/>
          <w:color w:val="000000"/>
          <w:sz w:val="32"/>
          <w:szCs w:val="32"/>
        </w:rPr>
        <w:t>116</w:t>
      </w:r>
      <w:r>
        <w:rPr>
          <w:rFonts w:hint="eastAsia" w:ascii="仿宋_GB2312" w:eastAsia="仿宋_GB2312"/>
          <w:color w:val="000000"/>
          <w:sz w:val="32"/>
          <w:szCs w:val="32"/>
        </w:rPr>
        <w:t>号</w:t>
      </w:r>
    </w:p>
    <w:p>
      <w:pPr>
        <w:spacing w:line="570" w:lineRule="exact"/>
        <w:jc w:val="center"/>
        <w:rPr>
          <w:rFonts w:ascii="方正小标宋简体" w:hAnsi="?????" w:eastAsia="方正小标宋简体"/>
          <w:color w:val="000000"/>
          <w:sz w:val="44"/>
          <w:szCs w:val="44"/>
        </w:rPr>
      </w:pPr>
    </w:p>
    <w:p>
      <w:pPr>
        <w:spacing w:line="570" w:lineRule="exact"/>
        <w:jc w:val="center"/>
        <w:rPr>
          <w:rFonts w:ascii="方正小标宋简体" w:hAnsi="?????" w:eastAsia="方正小标宋简体"/>
          <w:color w:val="000000"/>
          <w:sz w:val="44"/>
          <w:szCs w:val="44"/>
        </w:rPr>
      </w:pPr>
      <w:r>
        <w:rPr>
          <w:rFonts w:ascii="方正小标宋简体" w:hAnsi="?????" w:eastAsia="方正小标宋简体"/>
          <w:color w:val="000000"/>
          <w:sz w:val="44"/>
          <w:szCs w:val="44"/>
        </w:rPr>
        <w:t xml:space="preserve"> </w:t>
      </w:r>
    </w:p>
    <w:p>
      <w:pPr>
        <w:spacing w:line="570" w:lineRule="exact"/>
        <w:jc w:val="center"/>
        <w:rPr>
          <w:rFonts w:ascii="方正小标宋简体" w:hAnsi="?????" w:eastAsia="方正小标宋简体"/>
          <w:color w:val="000000"/>
          <w:sz w:val="44"/>
          <w:szCs w:val="44"/>
        </w:rPr>
      </w:pPr>
      <w:bookmarkStart w:id="0" w:name="OLE_LINK3"/>
      <w:r>
        <w:rPr>
          <w:rFonts w:hint="eastAsia" w:ascii="方正小标宋简体" w:hAnsi="?????" w:eastAsia="方正小标宋简体"/>
          <w:color w:val="000000"/>
          <w:sz w:val="44"/>
          <w:szCs w:val="44"/>
        </w:rPr>
        <w:t>关于印发《福建幼儿师范高等专科学校</w:t>
      </w:r>
    </w:p>
    <w:p>
      <w:pPr>
        <w:spacing w:line="570" w:lineRule="exact"/>
        <w:jc w:val="center"/>
        <w:rPr>
          <w:rFonts w:ascii="仿宋_GB2312" w:eastAsia="仿宋_GB2312"/>
          <w:color w:val="000000"/>
          <w:sz w:val="32"/>
          <w:szCs w:val="32"/>
        </w:rPr>
      </w:pPr>
      <w:r>
        <w:rPr>
          <w:rFonts w:hint="eastAsia" w:ascii="方正小标宋简体" w:hAnsi="?????" w:eastAsia="方正小标宋简体"/>
          <w:color w:val="000000"/>
          <w:sz w:val="44"/>
          <w:szCs w:val="44"/>
          <w:lang w:eastAsia="zh-CN"/>
        </w:rPr>
        <w:t>培训</w:t>
      </w:r>
      <w:r>
        <w:rPr>
          <w:rFonts w:hint="eastAsia" w:ascii="方正小标宋简体" w:hAnsi="?????" w:eastAsia="方正小标宋简体"/>
          <w:color w:val="000000"/>
          <w:sz w:val="44"/>
          <w:szCs w:val="44"/>
        </w:rPr>
        <w:t>费管理规定》的通知</w:t>
      </w:r>
    </w:p>
    <w:bookmarkEnd w:id="0"/>
    <w:p>
      <w:pPr>
        <w:spacing w:line="570" w:lineRule="exact"/>
        <w:rPr>
          <w:rFonts w:ascii="仿宋_GB2312" w:eastAsia="仿宋_GB2312"/>
          <w:color w:val="000000"/>
          <w:sz w:val="32"/>
          <w:szCs w:val="32"/>
        </w:rPr>
      </w:pPr>
      <w:r>
        <w:rPr>
          <w:rFonts w:ascii="仿宋_GB2312" w:eastAsia="仿宋_GB2312"/>
          <w:color w:val="000000"/>
          <w:sz w:val="32"/>
          <w:szCs w:val="32"/>
        </w:rPr>
        <w:t xml:space="preserve"> </w:t>
      </w:r>
    </w:p>
    <w:p>
      <w:pPr>
        <w:spacing w:line="570" w:lineRule="exact"/>
        <w:rPr>
          <w:rFonts w:cs="Calibri"/>
          <w:szCs w:val="21"/>
        </w:rPr>
      </w:pPr>
      <w:r>
        <w:rPr>
          <w:rFonts w:hint="eastAsia" w:ascii="仿宋_GB2312" w:eastAsia="仿宋_GB2312"/>
          <w:color w:val="000000"/>
          <w:sz w:val="32"/>
          <w:szCs w:val="32"/>
        </w:rPr>
        <w:t>各部门、各学院、各直属机构：</w:t>
      </w:r>
    </w:p>
    <w:p>
      <w:pPr>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现将《福建幼儿师范高等专科学校培训费管理规定》印发给你们，请遵照执行。</w:t>
      </w:r>
    </w:p>
    <w:p>
      <w:pPr>
        <w:spacing w:line="57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p>
    <w:p>
      <w:pPr>
        <w:spacing w:line="57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p>
    <w:p>
      <w:pPr>
        <w:spacing w:line="570" w:lineRule="exact"/>
        <w:ind w:left="4739" w:leftChars="2028" w:hanging="480" w:hangingChars="150"/>
        <w:rPr>
          <w:rFonts w:ascii="仿宋_GB2312" w:eastAsia="仿宋_GB2312"/>
          <w:color w:val="000000"/>
          <w:sz w:val="32"/>
          <w:szCs w:val="32"/>
        </w:rPr>
      </w:pPr>
      <w:r>
        <w:rPr>
          <w:rFonts w:hint="eastAsia" w:ascii="仿宋_GB2312" w:eastAsia="仿宋_GB2312"/>
          <w:color w:val="000000"/>
          <w:sz w:val="32"/>
          <w:szCs w:val="32"/>
        </w:rPr>
        <w:t>福建幼儿师范高等专科学校</w:t>
      </w:r>
    </w:p>
    <w:p>
      <w:pPr>
        <w:spacing w:line="570" w:lineRule="exact"/>
        <w:ind w:left="4738" w:leftChars="2256" w:firstLine="160" w:firstLineChars="50"/>
        <w:rPr>
          <w:rFonts w:ascii="仿宋_GB2312" w:eastAsia="仿宋_GB2312"/>
          <w:color w:val="000000"/>
          <w:sz w:val="32"/>
          <w:szCs w:val="32"/>
        </w:rPr>
      </w:pPr>
      <w:r>
        <w:rPr>
          <w:rFonts w:ascii="仿宋_GB2312" w:eastAsia="仿宋_GB2312"/>
          <w:color w:val="000000"/>
          <w:sz w:val="32"/>
          <w:szCs w:val="32"/>
        </w:rPr>
        <w:t>2023</w:t>
      </w:r>
      <w:r>
        <w:rPr>
          <w:rFonts w:hint="eastAsia" w:ascii="仿宋_GB2312" w:eastAsia="仿宋_GB2312"/>
          <w:color w:val="000000"/>
          <w:sz w:val="32"/>
          <w:szCs w:val="32"/>
        </w:rPr>
        <w:t>年</w:t>
      </w:r>
      <w:r>
        <w:rPr>
          <w:rFonts w:ascii="仿宋_GB2312" w:eastAsia="仿宋_GB2312"/>
          <w:color w:val="000000"/>
          <w:sz w:val="32"/>
          <w:szCs w:val="32"/>
        </w:rPr>
        <w:t>11</w:t>
      </w:r>
      <w:r>
        <w:rPr>
          <w:rFonts w:hint="eastAsia" w:ascii="仿宋_GB2312" w:eastAsia="仿宋_GB2312"/>
          <w:color w:val="000000"/>
          <w:sz w:val="32"/>
          <w:szCs w:val="32"/>
        </w:rPr>
        <w:t>月</w:t>
      </w:r>
      <w:r>
        <w:rPr>
          <w:rFonts w:ascii="仿宋_GB2312" w:eastAsia="仿宋_GB2312"/>
          <w:color w:val="000000"/>
          <w:sz w:val="32"/>
          <w:szCs w:val="32"/>
        </w:rPr>
        <w:t>29</w:t>
      </w:r>
      <w:r>
        <w:rPr>
          <w:rFonts w:hint="eastAsia" w:ascii="仿宋_GB2312" w:eastAsia="仿宋_GB2312"/>
          <w:color w:val="000000"/>
          <w:sz w:val="32"/>
          <w:szCs w:val="32"/>
        </w:rPr>
        <w:t>日</w:t>
      </w:r>
    </w:p>
    <w:p>
      <w:pPr>
        <w:spacing w:line="570" w:lineRule="exact"/>
        <w:jc w:val="center"/>
        <w:rPr>
          <w:b/>
          <w:sz w:val="40"/>
        </w:rPr>
      </w:pPr>
    </w:p>
    <w:p>
      <w:pPr>
        <w:spacing w:line="570" w:lineRule="exact"/>
        <w:jc w:val="center"/>
        <w:rPr>
          <w:b/>
          <w:sz w:val="40"/>
        </w:rPr>
      </w:pPr>
    </w:p>
    <w:p>
      <w:pPr>
        <w:widowControl/>
        <w:shd w:val="clear" w:color="auto" w:fill="FFFFFF"/>
        <w:spacing w:line="57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福建幼儿高等专科学校培训费管理规定</w:t>
      </w:r>
    </w:p>
    <w:p>
      <w:pPr>
        <w:widowControl/>
        <w:shd w:val="clear" w:color="auto" w:fill="FFFFFF"/>
        <w:spacing w:line="570" w:lineRule="exact"/>
        <w:jc w:val="center"/>
        <w:rPr>
          <w:rFonts w:ascii="方正小标宋简体" w:hAnsi="微软雅黑" w:eastAsia="方正小标宋简体" w:cs="宋体"/>
          <w:kern w:val="0"/>
          <w:sz w:val="44"/>
          <w:szCs w:val="44"/>
        </w:rPr>
      </w:pPr>
    </w:p>
    <w:p>
      <w:pPr>
        <w:widowControl/>
        <w:shd w:val="clear" w:color="auto" w:fill="FFFFFF"/>
        <w:spacing w:line="570" w:lineRule="exact"/>
        <w:jc w:val="center"/>
        <w:rPr>
          <w:rFonts w:ascii="微软雅黑" w:hAnsi="微软雅黑" w:eastAsia="微软雅黑" w:cs="宋体"/>
          <w:kern w:val="0"/>
          <w:sz w:val="32"/>
          <w:szCs w:val="32"/>
        </w:rPr>
      </w:pPr>
      <w:r>
        <w:rPr>
          <w:rFonts w:hint="eastAsia" w:ascii="黑体" w:hAnsi="黑体" w:eastAsia="黑体" w:cs="宋体"/>
          <w:kern w:val="0"/>
          <w:sz w:val="32"/>
          <w:szCs w:val="32"/>
        </w:rPr>
        <w:t>第一章</w:t>
      </w:r>
      <w:r>
        <w:rPr>
          <w:rFonts w:ascii="黑体" w:hAnsi="黑体" w:eastAsia="黑体" w:cs="宋体"/>
          <w:kern w:val="0"/>
          <w:sz w:val="32"/>
          <w:szCs w:val="32"/>
        </w:rPr>
        <w:t xml:space="preserve"> </w:t>
      </w:r>
      <w:r>
        <w:rPr>
          <w:rFonts w:ascii="宋体" w:cs="宋体"/>
          <w:kern w:val="0"/>
          <w:sz w:val="32"/>
          <w:szCs w:val="32"/>
        </w:rPr>
        <w:t> </w:t>
      </w:r>
      <w:r>
        <w:rPr>
          <w:rFonts w:hint="eastAsia" w:ascii="黑体" w:hAnsi="黑体" w:eastAsia="黑体" w:cs="宋体"/>
          <w:kern w:val="0"/>
          <w:sz w:val="32"/>
          <w:szCs w:val="32"/>
        </w:rPr>
        <w:t>总</w:t>
      </w:r>
      <w:r>
        <w:rPr>
          <w:rFonts w:ascii="黑体" w:hAnsi="黑体" w:eastAsia="黑体" w:cs="宋体"/>
          <w:kern w:val="0"/>
          <w:sz w:val="32"/>
          <w:szCs w:val="32"/>
        </w:rPr>
        <w:t xml:space="preserve"> </w:t>
      </w:r>
      <w:r>
        <w:rPr>
          <w:rFonts w:ascii="宋体" w:cs="宋体"/>
          <w:kern w:val="0"/>
          <w:sz w:val="32"/>
          <w:szCs w:val="32"/>
        </w:rPr>
        <w:t> </w:t>
      </w:r>
      <w:r>
        <w:rPr>
          <w:rFonts w:hint="eastAsia" w:ascii="黑体" w:hAnsi="黑体" w:eastAsia="黑体" w:cs="宋体"/>
          <w:kern w:val="0"/>
          <w:sz w:val="32"/>
          <w:szCs w:val="32"/>
        </w:rPr>
        <w:t>则</w:t>
      </w:r>
    </w:p>
    <w:p>
      <w:pPr>
        <w:widowControl/>
        <w:shd w:val="clear" w:color="auto" w:fill="FFFFFF"/>
        <w:spacing w:line="570" w:lineRule="exact"/>
        <w:ind w:firstLine="643" w:firstLineChars="200"/>
        <w:rPr>
          <w:rFonts w:ascii="微软雅黑" w:hAnsi="微软雅黑" w:eastAsia="微软雅黑" w:cs="宋体"/>
          <w:kern w:val="0"/>
          <w:sz w:val="32"/>
          <w:szCs w:val="32"/>
        </w:rPr>
      </w:pPr>
      <w:r>
        <w:rPr>
          <w:rFonts w:hint="eastAsia" w:ascii="仿宋_GB2312" w:hAnsi="微软雅黑" w:eastAsia="仿宋_GB2312" w:cs="宋体"/>
          <w:b/>
          <w:bCs/>
          <w:kern w:val="0"/>
          <w:sz w:val="32"/>
          <w:szCs w:val="32"/>
        </w:rPr>
        <w:t>第一条</w:t>
      </w:r>
      <w:r>
        <w:rPr>
          <w:rFonts w:ascii="仿宋_GB2312" w:hAnsi="微软雅黑" w:eastAsia="仿宋_GB2312" w:cs="宋体"/>
          <w:b/>
          <w:bCs/>
          <w:kern w:val="0"/>
          <w:sz w:val="32"/>
          <w:szCs w:val="32"/>
        </w:rPr>
        <w:t xml:space="preserve">  </w:t>
      </w:r>
      <w:r>
        <w:rPr>
          <w:rFonts w:hint="eastAsia" w:ascii="仿宋_GB2312" w:hAnsi="微软雅黑" w:eastAsia="仿宋_GB2312" w:cs="宋体"/>
          <w:kern w:val="0"/>
          <w:sz w:val="32"/>
          <w:szCs w:val="32"/>
        </w:rPr>
        <w:t>为规范学校培训工作，加强培训经费管理，参照《福建省省直机关培训费管理办法》（闽财行〔</w:t>
      </w:r>
      <w:r>
        <w:rPr>
          <w:rFonts w:ascii="仿宋_GB2312" w:hAnsi="微软雅黑" w:eastAsia="仿宋_GB2312" w:cs="宋体"/>
          <w:kern w:val="0"/>
          <w:sz w:val="32"/>
          <w:szCs w:val="32"/>
        </w:rPr>
        <w:t>2017</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18</w:t>
      </w:r>
      <w:r>
        <w:rPr>
          <w:rFonts w:hint="eastAsia" w:ascii="仿宋_GB2312" w:hAnsi="微软雅黑" w:eastAsia="仿宋_GB2312" w:cs="宋体"/>
          <w:kern w:val="0"/>
          <w:sz w:val="32"/>
          <w:szCs w:val="32"/>
        </w:rPr>
        <w:t>号）和《关于印发</w:t>
      </w:r>
      <w:r>
        <w:rPr>
          <w:rFonts w:ascii="仿宋_GB2312" w:hAnsi="微软雅黑" w:eastAsia="仿宋_GB2312" w:cs="宋体"/>
          <w:kern w:val="0"/>
          <w:sz w:val="32"/>
          <w:szCs w:val="32"/>
        </w:rPr>
        <w:t>&lt;</w:t>
      </w:r>
      <w:r>
        <w:rPr>
          <w:rFonts w:hint="eastAsia" w:ascii="仿宋_GB2312" w:hAnsi="微软雅黑" w:eastAsia="仿宋_GB2312" w:cs="宋体"/>
          <w:kern w:val="0"/>
          <w:sz w:val="32"/>
          <w:szCs w:val="32"/>
        </w:rPr>
        <w:t>福建省省直机关培训费管理办法有关问题的解答</w:t>
      </w:r>
      <w:r>
        <w:rPr>
          <w:rFonts w:ascii="仿宋_GB2312" w:hAnsi="微软雅黑" w:eastAsia="仿宋_GB2312" w:cs="宋体"/>
          <w:kern w:val="0"/>
          <w:sz w:val="32"/>
          <w:szCs w:val="32"/>
        </w:rPr>
        <w:t>&gt;</w:t>
      </w:r>
      <w:r>
        <w:rPr>
          <w:rFonts w:hint="eastAsia" w:ascii="仿宋_GB2312" w:hAnsi="微软雅黑" w:eastAsia="仿宋_GB2312" w:cs="宋体"/>
          <w:kern w:val="0"/>
          <w:sz w:val="32"/>
          <w:szCs w:val="32"/>
        </w:rPr>
        <w:t>的通知》（闽财行〔</w:t>
      </w:r>
      <w:r>
        <w:rPr>
          <w:rFonts w:ascii="仿宋_GB2312" w:hAnsi="微软雅黑" w:eastAsia="仿宋_GB2312" w:cs="宋体"/>
          <w:kern w:val="0"/>
          <w:sz w:val="32"/>
          <w:szCs w:val="32"/>
        </w:rPr>
        <w:t>2018</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17</w:t>
      </w:r>
      <w:r>
        <w:rPr>
          <w:rFonts w:hint="eastAsia" w:ascii="仿宋_GB2312" w:hAnsi="微软雅黑" w:eastAsia="仿宋_GB2312" w:cs="宋体"/>
          <w:kern w:val="0"/>
          <w:sz w:val="32"/>
          <w:szCs w:val="32"/>
        </w:rPr>
        <w:t>号），结合我校实际，制定本规定。</w:t>
      </w:r>
    </w:p>
    <w:p>
      <w:pPr>
        <w:widowControl/>
        <w:shd w:val="clear" w:color="auto" w:fill="FFFFFF"/>
        <w:spacing w:line="57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第二条</w:t>
      </w:r>
      <w:r>
        <w:rPr>
          <w:rFonts w:ascii="仿宋_GB2312" w:hAnsi="微软雅黑" w:eastAsia="仿宋_GB2312" w:cs="宋体"/>
          <w:b/>
          <w:bCs/>
          <w:kern w:val="0"/>
          <w:sz w:val="32"/>
          <w:szCs w:val="32"/>
        </w:rPr>
        <w:t xml:space="preserve">  </w:t>
      </w:r>
      <w:r>
        <w:rPr>
          <w:rFonts w:hint="eastAsia" w:ascii="仿宋_GB2312" w:hAnsi="微软雅黑" w:eastAsia="仿宋_GB2312" w:cs="宋体"/>
          <w:kern w:val="0"/>
          <w:sz w:val="32"/>
          <w:szCs w:val="32"/>
        </w:rPr>
        <w:t>本规定所称培训，是指校内各部门、学院、直属机构（以下简称“各单位”）在境内开展（举办或承办）的三个月以内的各类培训。</w:t>
      </w:r>
    </w:p>
    <w:p>
      <w:pPr>
        <w:widowControl/>
        <w:shd w:val="clear" w:color="auto" w:fill="FFFFFF"/>
        <w:spacing w:line="570" w:lineRule="exact"/>
        <w:ind w:firstLine="643" w:firstLineChars="200"/>
        <w:rPr>
          <w:rFonts w:ascii="微软雅黑" w:hAnsi="微软雅黑" w:eastAsia="微软雅黑" w:cs="宋体"/>
          <w:kern w:val="0"/>
          <w:sz w:val="32"/>
          <w:szCs w:val="32"/>
        </w:rPr>
      </w:pPr>
      <w:r>
        <w:rPr>
          <w:rFonts w:hint="eastAsia" w:ascii="仿宋_GB2312" w:hAnsi="微软雅黑" w:eastAsia="仿宋_GB2312" w:cs="宋体"/>
          <w:b/>
          <w:bCs/>
          <w:kern w:val="0"/>
          <w:sz w:val="32"/>
          <w:szCs w:val="32"/>
        </w:rPr>
        <w:t>第三条</w:t>
      </w:r>
      <w:r>
        <w:rPr>
          <w:rFonts w:ascii="仿宋_GB2312" w:hAnsi="微软雅黑" w:eastAsia="仿宋_GB2312" w:cs="宋体"/>
          <w:b/>
          <w:bCs/>
          <w:kern w:val="0"/>
          <w:sz w:val="32"/>
          <w:szCs w:val="32"/>
        </w:rPr>
        <w:t xml:space="preserve">  </w:t>
      </w:r>
      <w:r>
        <w:rPr>
          <w:rFonts w:hint="eastAsia" w:ascii="仿宋_GB2312" w:hAnsi="微软雅黑" w:eastAsia="仿宋_GB2312" w:cs="宋体"/>
          <w:kern w:val="0"/>
          <w:sz w:val="32"/>
          <w:szCs w:val="32"/>
        </w:rPr>
        <w:t>各单位开展培训应当坚持厉行节约、反对浪费的原则，实行统一管理，增强培训计划的科学性和严肃性，增强培训项目的针对性和实效性，保证培训质量，提高培训经费使用效益。</w:t>
      </w:r>
    </w:p>
    <w:p>
      <w:pPr>
        <w:widowControl/>
        <w:shd w:val="clear" w:color="auto" w:fill="FFFFFF"/>
        <w:spacing w:line="570" w:lineRule="exact"/>
        <w:jc w:val="center"/>
        <w:rPr>
          <w:rFonts w:ascii="微软雅黑" w:hAnsi="微软雅黑" w:eastAsia="微软雅黑" w:cs="宋体"/>
          <w:kern w:val="0"/>
          <w:sz w:val="32"/>
          <w:szCs w:val="32"/>
        </w:rPr>
      </w:pPr>
      <w:r>
        <w:rPr>
          <w:rFonts w:hint="eastAsia" w:ascii="黑体" w:hAnsi="黑体" w:eastAsia="黑体" w:cs="宋体"/>
          <w:kern w:val="0"/>
          <w:sz w:val="32"/>
          <w:szCs w:val="32"/>
        </w:rPr>
        <w:t>第二章</w:t>
      </w:r>
      <w:r>
        <w:rPr>
          <w:rFonts w:ascii="黑体" w:hAnsi="黑体" w:eastAsia="黑体" w:cs="宋体"/>
          <w:kern w:val="0"/>
          <w:sz w:val="32"/>
          <w:szCs w:val="32"/>
        </w:rPr>
        <w:t xml:space="preserve"> </w:t>
      </w:r>
      <w:r>
        <w:rPr>
          <w:rFonts w:ascii="宋体" w:cs="宋体"/>
          <w:kern w:val="0"/>
          <w:sz w:val="32"/>
          <w:szCs w:val="32"/>
        </w:rPr>
        <w:t> </w:t>
      </w:r>
      <w:r>
        <w:rPr>
          <w:rFonts w:hint="eastAsia" w:ascii="黑体" w:hAnsi="黑体" w:eastAsia="黑体" w:cs="宋体"/>
          <w:kern w:val="0"/>
          <w:sz w:val="32"/>
          <w:szCs w:val="32"/>
        </w:rPr>
        <w:t>计划及经费预算</w:t>
      </w:r>
    </w:p>
    <w:p>
      <w:pPr>
        <w:widowControl/>
        <w:shd w:val="clear" w:color="auto" w:fill="FFFFFF"/>
        <w:spacing w:line="57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第四条</w:t>
      </w:r>
      <w:r>
        <w:rPr>
          <w:rFonts w:ascii="仿宋_GB2312" w:hAnsi="微软雅黑" w:eastAsia="仿宋_GB2312" w:cs="宋体"/>
          <w:b/>
          <w:bCs/>
          <w:kern w:val="0"/>
          <w:sz w:val="32"/>
          <w:szCs w:val="32"/>
        </w:rPr>
        <w:t xml:space="preserve">  </w:t>
      </w:r>
      <w:r>
        <w:rPr>
          <w:rFonts w:hint="eastAsia" w:ascii="仿宋_GB2312" w:hAnsi="微软雅黑" w:eastAsia="仿宋_GB2312" w:cs="宋体"/>
          <w:kern w:val="0"/>
          <w:sz w:val="32"/>
          <w:szCs w:val="32"/>
        </w:rPr>
        <w:t>各单位应当制定年度培训计划（包括培训名称、目的、对象、内容、时间、地点、参训人数、所需经费及列支渠道等），经分管（或联系）校领导同意后，于当年</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15</w:t>
      </w:r>
      <w:r>
        <w:rPr>
          <w:rFonts w:hint="eastAsia" w:ascii="仿宋_GB2312" w:hAnsi="微软雅黑" w:eastAsia="仿宋_GB2312" w:cs="宋体"/>
          <w:kern w:val="0"/>
          <w:sz w:val="32"/>
          <w:szCs w:val="32"/>
        </w:rPr>
        <w:t>日前报财务部门审核汇总。</w:t>
      </w:r>
    </w:p>
    <w:p>
      <w:pPr>
        <w:widowControl/>
        <w:shd w:val="clear" w:color="auto" w:fill="FFFFFF"/>
        <w:spacing w:line="57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财务部门审核汇总，报分管财务校领导审定后，提交校长办公会议批准后列入本年度经费预算。在校内为本校师生举办的讲座，经分管校领导同意后实施，可以不列入年度培训计划。</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承办校外单位委托的培训项目时，应适当考虑利润，所制定的计划和编制的预算，均不得超过委托方拨付的经费。</w:t>
      </w:r>
    </w:p>
    <w:p>
      <w:pPr>
        <w:widowControl/>
        <w:shd w:val="clear" w:color="auto" w:fill="FFFFFF"/>
        <w:spacing w:line="57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第五条</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各单位开展培训应当遵循“先审批、后举办（承办）”的程序。</w:t>
      </w:r>
    </w:p>
    <w:p>
      <w:pPr>
        <w:widowControl/>
        <w:shd w:val="clear" w:color="auto" w:fill="FFFFFF"/>
        <w:spacing w:line="57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年度培训计划一经批准，原则上不得调整。</w:t>
      </w:r>
    </w:p>
    <w:p>
      <w:pPr>
        <w:widowControl/>
        <w:shd w:val="clear" w:color="auto" w:fill="FFFFFF"/>
        <w:spacing w:line="570" w:lineRule="exact"/>
        <w:ind w:firstLine="640" w:firstLineChars="200"/>
        <w:rPr>
          <w:rFonts w:ascii="微软雅黑" w:hAnsi="微软雅黑" w:eastAsia="仿宋_GB2312" w:cs="宋体"/>
          <w:color w:val="C0504D"/>
          <w:kern w:val="0"/>
          <w:sz w:val="32"/>
          <w:szCs w:val="32"/>
        </w:rPr>
      </w:pPr>
      <w:r>
        <w:rPr>
          <w:rFonts w:hint="eastAsia" w:ascii="仿宋_GB2312" w:hAnsi="微软雅黑" w:eastAsia="仿宋_GB2312" w:cs="宋体"/>
          <w:kern w:val="0"/>
          <w:sz w:val="32"/>
          <w:szCs w:val="32"/>
        </w:rPr>
        <w:t>确需临时增加的培训项目，应按程序报学校主要领导同意并办妥预算调整手续后方可实施。</w:t>
      </w:r>
    </w:p>
    <w:p>
      <w:pPr>
        <w:widowControl/>
        <w:shd w:val="clear" w:color="auto" w:fill="FFFFFF"/>
        <w:spacing w:line="570" w:lineRule="exact"/>
        <w:jc w:val="center"/>
        <w:rPr>
          <w:rFonts w:ascii="微软雅黑" w:hAnsi="微软雅黑" w:eastAsia="微软雅黑" w:cs="宋体"/>
          <w:kern w:val="0"/>
          <w:sz w:val="32"/>
          <w:szCs w:val="32"/>
        </w:rPr>
      </w:pPr>
      <w:r>
        <w:rPr>
          <w:rFonts w:hint="eastAsia" w:ascii="黑体" w:hAnsi="黑体" w:eastAsia="黑体" w:cs="宋体"/>
          <w:kern w:val="0"/>
          <w:sz w:val="32"/>
          <w:szCs w:val="32"/>
        </w:rPr>
        <w:t>第三章</w:t>
      </w:r>
      <w:r>
        <w:rPr>
          <w:rFonts w:ascii="黑体" w:hAnsi="黑体" w:eastAsia="黑体" w:cs="宋体"/>
          <w:kern w:val="0"/>
          <w:sz w:val="32"/>
          <w:szCs w:val="32"/>
        </w:rPr>
        <w:t xml:space="preserve"> </w:t>
      </w:r>
      <w:r>
        <w:rPr>
          <w:rFonts w:ascii="宋体" w:cs="宋体"/>
          <w:kern w:val="0"/>
          <w:sz w:val="32"/>
          <w:szCs w:val="32"/>
        </w:rPr>
        <w:t> </w:t>
      </w:r>
      <w:r>
        <w:rPr>
          <w:rFonts w:hint="eastAsia" w:ascii="黑体" w:hAnsi="黑体" w:eastAsia="黑体" w:cs="宋体"/>
          <w:kern w:val="0"/>
          <w:sz w:val="32"/>
          <w:szCs w:val="32"/>
        </w:rPr>
        <w:t>开支范围和标准</w:t>
      </w:r>
    </w:p>
    <w:p>
      <w:pPr>
        <w:widowControl/>
        <w:shd w:val="clear" w:color="auto" w:fill="FFFFFF"/>
        <w:spacing w:line="570" w:lineRule="exact"/>
        <w:ind w:firstLine="643" w:firstLineChars="200"/>
        <w:rPr>
          <w:rFonts w:ascii="微软雅黑" w:hAnsi="微软雅黑" w:eastAsia="微软雅黑" w:cs="宋体"/>
          <w:kern w:val="0"/>
          <w:sz w:val="32"/>
          <w:szCs w:val="32"/>
        </w:rPr>
      </w:pPr>
      <w:r>
        <w:rPr>
          <w:rFonts w:hint="eastAsia" w:ascii="仿宋_GB2312" w:hAnsi="宋体" w:eastAsia="仿宋_GB2312" w:cs="宋体"/>
          <w:b/>
          <w:bCs/>
          <w:kern w:val="0"/>
          <w:sz w:val="32"/>
          <w:szCs w:val="32"/>
        </w:rPr>
        <w:t>第六条</w:t>
      </w:r>
      <w:r>
        <w:rPr>
          <w:rFonts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本规定所称培训费，是指开展培训直接发生的各项费用支出，包括师资费、住宿费、伙食费、培训场地费、培训资料费、交通费以及其他费用。具体如下：</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（一）师资费：指聘请师资授课发生的费用，包括授课老师讲课费、住宿费、伙食费、城市间交通费等。</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（二）住宿费：指参训人员及工作人员培训期间发生的租住房间的费用。</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（三）伙食费：指参训人员及工作人员培训期间发生的用餐费用。</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（四）培训场地费：指用于培训的会议室或教室租金。</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（五）培训资料费：指培训期间必要的资料及办公用品费。</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（六）交通费：指用于培训所需的人员接送以及与培训有关的考察、调研等发生的交通支出。</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（七）其他费用：指现场教学费、设备租赁费、医药费等与培训有关的其他支出。</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参训人员及工作人员参加培训往返及异地教学发生的城市间交通费，按照所在单位差旅费有关规定回单位报销。</w:t>
      </w:r>
    </w:p>
    <w:p>
      <w:pPr>
        <w:widowControl/>
        <w:shd w:val="clear" w:color="auto" w:fill="FFFFFF"/>
        <w:spacing w:line="570" w:lineRule="exact"/>
        <w:rPr>
          <w:rFonts w:ascii="微软雅黑" w:hAnsi="微软雅黑" w:eastAsia="微软雅黑" w:cs="宋体"/>
          <w:kern w:val="0"/>
          <w:sz w:val="32"/>
          <w:szCs w:val="32"/>
        </w:rPr>
      </w:pPr>
      <w:r>
        <w:rPr>
          <w:rFonts w:ascii="仿宋_GB2312" w:hAnsi="微软雅黑" w:eastAsia="仿宋_GB2312" w:cs="宋体"/>
          <w:b/>
          <w:bCs/>
          <w:kern w:val="0"/>
          <w:sz w:val="32"/>
          <w:szCs w:val="32"/>
        </w:rPr>
        <w:t xml:space="preserve">    </w:t>
      </w:r>
      <w:r>
        <w:rPr>
          <w:rFonts w:hint="eastAsia" w:ascii="仿宋_GB2312" w:hAnsi="微软雅黑" w:eastAsia="仿宋_GB2312" w:cs="宋体"/>
          <w:b/>
          <w:bCs/>
          <w:kern w:val="0"/>
          <w:sz w:val="32"/>
          <w:szCs w:val="32"/>
        </w:rPr>
        <w:t>第七条</w:t>
      </w:r>
      <w:r>
        <w:rPr>
          <w:rFonts w:ascii="仿宋_GB2312" w:hAnsi="微软雅黑" w:eastAsia="仿宋_GB2312" w:cs="宋体"/>
          <w:b/>
          <w:bCs/>
          <w:kern w:val="0"/>
          <w:sz w:val="32"/>
          <w:szCs w:val="32"/>
        </w:rPr>
        <w:t xml:space="preserve">  </w:t>
      </w:r>
      <w:r>
        <w:rPr>
          <w:rFonts w:hint="eastAsia" w:ascii="仿宋_GB2312" w:hAnsi="微软雅黑" w:eastAsia="仿宋_GB2312" w:cs="宋体"/>
          <w:kern w:val="0"/>
          <w:sz w:val="32"/>
          <w:szCs w:val="32"/>
        </w:rPr>
        <w:t>除师资费外，培训费实行分类综合定额标准，分项核定、总额控制</w:t>
      </w:r>
      <w:r>
        <w:rPr>
          <w:rFonts w:hint="eastAsia" w:ascii="仿宋_GB2312" w:hAnsi="微软雅黑" w:eastAsia="仿宋_GB2312" w:cs="宋体"/>
          <w:color w:val="000000"/>
          <w:kern w:val="0"/>
          <w:sz w:val="32"/>
          <w:szCs w:val="32"/>
        </w:rPr>
        <w:t>，各项费用之间可以调剂使用</w:t>
      </w:r>
      <w:r>
        <w:rPr>
          <w:rFonts w:hint="eastAsia" w:ascii="仿宋_GB2312" w:hAnsi="微软雅黑" w:eastAsia="仿宋_GB2312" w:cs="宋体"/>
          <w:kern w:val="0"/>
          <w:sz w:val="32"/>
          <w:szCs w:val="32"/>
        </w:rPr>
        <w:t>，但不得超过综合定额标准</w:t>
      </w:r>
      <w:r>
        <w:rPr>
          <w:rFonts w:hint="eastAsia" w:ascii="仿宋_GB2312" w:hAnsi="微软雅黑" w:eastAsia="仿宋_GB2312" w:cs="宋体"/>
          <w:color w:val="000000"/>
          <w:kern w:val="0"/>
          <w:sz w:val="32"/>
          <w:szCs w:val="32"/>
        </w:rPr>
        <w:t>结算报销。对于未发生的事项，</w:t>
      </w:r>
      <w:r>
        <w:rPr>
          <w:rFonts w:hint="eastAsia" w:ascii="仿宋_GB2312" w:hAnsi="微软雅黑" w:eastAsia="仿宋_GB2312" w:cs="宋体"/>
          <w:kern w:val="0"/>
          <w:sz w:val="32"/>
          <w:szCs w:val="32"/>
        </w:rPr>
        <w:t>均应按下表的明细标准进行相应扣减，不能调剂使用。综合定额明细标准如下：</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单位：元</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人</w:t>
      </w:r>
      <w:r>
        <w:rPr>
          <w:rFonts w:hint="eastAsia" w:ascii="仿宋" w:hAnsi="仿宋" w:eastAsia="仿宋" w:cs="宋体"/>
          <w:kern w:val="0"/>
          <w:sz w:val="32"/>
          <w:szCs w:val="32"/>
        </w:rPr>
        <w:t>·</w:t>
      </w:r>
      <w:r>
        <w:rPr>
          <w:rFonts w:hint="eastAsia" w:ascii="仿宋_GB2312" w:hAnsi="微软雅黑" w:eastAsia="仿宋_GB2312" w:cs="宋体"/>
          <w:kern w:val="0"/>
          <w:sz w:val="32"/>
          <w:szCs w:val="32"/>
        </w:rPr>
        <w:t>天</w:t>
      </w:r>
    </w:p>
    <w:tbl>
      <w:tblPr>
        <w:tblStyle w:val="8"/>
        <w:tblW w:w="953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0"/>
        <w:gridCol w:w="1440"/>
        <w:gridCol w:w="1383"/>
        <w:gridCol w:w="1980"/>
        <w:gridCol w:w="108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jc w:val="center"/>
        </w:trPr>
        <w:tc>
          <w:tcPr>
            <w:tcW w:w="162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hint="eastAsia" w:ascii="仿宋_GB2312" w:hAnsi="微软雅黑" w:eastAsia="仿宋_GB2312" w:cs="宋体"/>
                <w:kern w:val="0"/>
                <w:sz w:val="28"/>
                <w:szCs w:val="28"/>
              </w:rPr>
              <w:t>培训类别</w:t>
            </w:r>
          </w:p>
        </w:tc>
        <w:tc>
          <w:tcPr>
            <w:tcW w:w="144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hint="eastAsia" w:ascii="仿宋_GB2312" w:hAnsi="微软雅黑" w:eastAsia="仿宋_GB2312" w:cs="宋体"/>
                <w:kern w:val="0"/>
                <w:sz w:val="28"/>
                <w:szCs w:val="28"/>
              </w:rPr>
              <w:t>住宿费</w:t>
            </w:r>
          </w:p>
        </w:tc>
        <w:tc>
          <w:tcPr>
            <w:tcW w:w="1383"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hint="eastAsia" w:ascii="仿宋_GB2312" w:hAnsi="微软雅黑" w:eastAsia="仿宋_GB2312" w:cs="宋体"/>
                <w:kern w:val="0"/>
                <w:sz w:val="28"/>
                <w:szCs w:val="28"/>
              </w:rPr>
              <w:t>伙食费</w:t>
            </w:r>
          </w:p>
        </w:tc>
        <w:tc>
          <w:tcPr>
            <w:tcW w:w="198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hint="eastAsia" w:ascii="仿宋_GB2312" w:hAnsi="微软雅黑" w:eastAsia="仿宋_GB2312" w:cs="宋体"/>
                <w:kern w:val="0"/>
                <w:sz w:val="28"/>
                <w:szCs w:val="28"/>
              </w:rPr>
              <w:t>场地、资料、</w:t>
            </w:r>
          </w:p>
          <w:p>
            <w:pPr>
              <w:widowControl/>
              <w:spacing w:line="570" w:lineRule="exact"/>
              <w:jc w:val="center"/>
              <w:rPr>
                <w:rFonts w:ascii="微软雅黑" w:hAnsi="微软雅黑" w:eastAsia="微软雅黑" w:cs="宋体"/>
                <w:kern w:val="0"/>
                <w:sz w:val="28"/>
                <w:szCs w:val="28"/>
              </w:rPr>
            </w:pPr>
            <w:r>
              <w:rPr>
                <w:rFonts w:hint="eastAsia" w:ascii="仿宋_GB2312" w:hAnsi="微软雅黑" w:eastAsia="仿宋_GB2312" w:cs="宋体"/>
                <w:kern w:val="0"/>
                <w:sz w:val="28"/>
                <w:szCs w:val="28"/>
              </w:rPr>
              <w:t>交通费</w:t>
            </w:r>
          </w:p>
        </w:tc>
        <w:tc>
          <w:tcPr>
            <w:tcW w:w="1080" w:type="dxa"/>
            <w:shd w:val="clear" w:color="auto" w:fill="FFFFFF"/>
            <w:tcMar>
              <w:top w:w="107" w:type="dxa"/>
              <w:left w:w="215" w:type="dxa"/>
              <w:bottom w:w="107" w:type="dxa"/>
              <w:right w:w="215" w:type="dxa"/>
            </w:tcMar>
            <w:vAlign w:val="center"/>
          </w:tcPr>
          <w:p>
            <w:pPr>
              <w:widowControl/>
              <w:spacing w:line="570" w:lineRule="exact"/>
              <w:jc w:val="center"/>
              <w:rPr>
                <w:rFonts w:ascii="仿宋_GB2312" w:hAnsi="微软雅黑" w:eastAsia="仿宋_GB2312" w:cs="宋体"/>
                <w:kern w:val="0"/>
                <w:sz w:val="28"/>
                <w:szCs w:val="28"/>
              </w:rPr>
            </w:pPr>
            <w:r>
              <w:rPr>
                <w:rFonts w:hint="eastAsia" w:ascii="仿宋_GB2312" w:hAnsi="微软雅黑" w:eastAsia="仿宋_GB2312" w:cs="宋体"/>
                <w:kern w:val="0"/>
                <w:sz w:val="28"/>
                <w:szCs w:val="28"/>
              </w:rPr>
              <w:t>其他</w:t>
            </w:r>
          </w:p>
          <w:p>
            <w:pPr>
              <w:widowControl/>
              <w:spacing w:line="570" w:lineRule="exact"/>
              <w:jc w:val="center"/>
              <w:rPr>
                <w:rFonts w:ascii="微软雅黑" w:hAnsi="微软雅黑" w:eastAsia="微软雅黑" w:cs="宋体"/>
                <w:kern w:val="0"/>
                <w:sz w:val="28"/>
                <w:szCs w:val="28"/>
              </w:rPr>
            </w:pPr>
            <w:r>
              <w:rPr>
                <w:rFonts w:hint="eastAsia" w:ascii="仿宋_GB2312" w:hAnsi="微软雅黑" w:eastAsia="仿宋_GB2312" w:cs="宋体"/>
                <w:kern w:val="0"/>
                <w:sz w:val="28"/>
                <w:szCs w:val="28"/>
              </w:rPr>
              <w:t>费用</w:t>
            </w:r>
          </w:p>
        </w:tc>
        <w:tc>
          <w:tcPr>
            <w:tcW w:w="2034" w:type="dxa"/>
            <w:shd w:val="clear" w:color="auto" w:fill="FFFFFF"/>
            <w:tcMar>
              <w:top w:w="107" w:type="dxa"/>
              <w:left w:w="215" w:type="dxa"/>
              <w:bottom w:w="107" w:type="dxa"/>
              <w:right w:w="215" w:type="dxa"/>
            </w:tcMar>
            <w:vAlign w:val="center"/>
          </w:tcPr>
          <w:p>
            <w:pPr>
              <w:widowControl/>
              <w:spacing w:line="570" w:lineRule="exact"/>
              <w:jc w:val="center"/>
              <w:rPr>
                <w:rFonts w:ascii="仿宋_GB2312" w:hAnsi="微软雅黑" w:eastAsia="仿宋_GB2312" w:cs="宋体"/>
                <w:kern w:val="0"/>
                <w:sz w:val="28"/>
                <w:szCs w:val="28"/>
              </w:rPr>
            </w:pPr>
            <w:r>
              <w:rPr>
                <w:rFonts w:hint="eastAsia" w:ascii="仿宋_GB2312" w:hAnsi="微软雅黑" w:eastAsia="仿宋_GB2312" w:cs="宋体"/>
                <w:kern w:val="0"/>
                <w:sz w:val="28"/>
                <w:szCs w:val="28"/>
              </w:rPr>
              <w:t>合计</w:t>
            </w:r>
            <w:r>
              <w:rPr>
                <w:rFonts w:ascii="仿宋_GB2312" w:hAnsi="微软雅黑" w:eastAsia="仿宋_GB2312" w:cs="宋体"/>
                <w:kern w:val="0"/>
                <w:sz w:val="28"/>
                <w:szCs w:val="28"/>
              </w:rPr>
              <w:t xml:space="preserve"> </w:t>
            </w:r>
          </w:p>
          <w:p>
            <w:pPr>
              <w:widowControl/>
              <w:spacing w:line="570" w:lineRule="exact"/>
              <w:jc w:val="center"/>
              <w:rPr>
                <w:rFonts w:ascii="微软雅黑" w:hAnsi="微软雅黑" w:eastAsia="仿宋_GB2312" w:cs="宋体"/>
                <w:kern w:val="0"/>
                <w:sz w:val="28"/>
                <w:szCs w:val="28"/>
              </w:rPr>
            </w:pPr>
            <w:r>
              <w:rPr>
                <w:rFonts w:ascii="仿宋_GB2312" w:hAnsi="微软雅黑" w:eastAsia="仿宋_GB2312" w:cs="宋体"/>
                <w:kern w:val="0"/>
                <w:sz w:val="28"/>
                <w:szCs w:val="28"/>
              </w:rPr>
              <w:t>(</w:t>
            </w:r>
            <w:r>
              <w:rPr>
                <w:rFonts w:hint="eastAsia" w:ascii="仿宋_GB2312" w:hAnsi="微软雅黑" w:eastAsia="仿宋_GB2312" w:cs="宋体"/>
                <w:kern w:val="0"/>
                <w:sz w:val="28"/>
                <w:szCs w:val="28"/>
              </w:rPr>
              <w:t>综合定额</w:t>
            </w:r>
            <w:r>
              <w:rPr>
                <w:rFonts w:ascii="仿宋_GB2312" w:hAnsi="微软雅黑" w:eastAsia="仿宋_GB2312"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tblCellSpacing w:w="0" w:type="dxa"/>
          <w:jc w:val="center"/>
        </w:trPr>
        <w:tc>
          <w:tcPr>
            <w:tcW w:w="162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hint="eastAsia" w:ascii="仿宋_GB2312" w:hAnsi="微软雅黑" w:eastAsia="仿宋_GB2312" w:cs="宋体"/>
                <w:kern w:val="0"/>
                <w:sz w:val="28"/>
                <w:szCs w:val="28"/>
              </w:rPr>
              <w:t>一类培训</w:t>
            </w:r>
          </w:p>
        </w:tc>
        <w:tc>
          <w:tcPr>
            <w:tcW w:w="144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360</w:t>
            </w:r>
          </w:p>
        </w:tc>
        <w:tc>
          <w:tcPr>
            <w:tcW w:w="1383"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150</w:t>
            </w:r>
          </w:p>
        </w:tc>
        <w:tc>
          <w:tcPr>
            <w:tcW w:w="198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70</w:t>
            </w:r>
          </w:p>
        </w:tc>
        <w:tc>
          <w:tcPr>
            <w:tcW w:w="108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20</w:t>
            </w:r>
          </w:p>
        </w:tc>
        <w:tc>
          <w:tcPr>
            <w:tcW w:w="2034"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162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hint="eastAsia" w:ascii="仿宋_GB2312" w:hAnsi="微软雅黑" w:eastAsia="仿宋_GB2312" w:cs="宋体"/>
                <w:kern w:val="0"/>
                <w:sz w:val="28"/>
                <w:szCs w:val="28"/>
              </w:rPr>
              <w:t>二类培训</w:t>
            </w:r>
          </w:p>
        </w:tc>
        <w:tc>
          <w:tcPr>
            <w:tcW w:w="144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300</w:t>
            </w:r>
          </w:p>
        </w:tc>
        <w:tc>
          <w:tcPr>
            <w:tcW w:w="1383"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130</w:t>
            </w:r>
          </w:p>
        </w:tc>
        <w:tc>
          <w:tcPr>
            <w:tcW w:w="198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50</w:t>
            </w:r>
          </w:p>
        </w:tc>
        <w:tc>
          <w:tcPr>
            <w:tcW w:w="108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20</w:t>
            </w:r>
          </w:p>
        </w:tc>
        <w:tc>
          <w:tcPr>
            <w:tcW w:w="2034"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blCellSpacing w:w="0" w:type="dxa"/>
          <w:jc w:val="center"/>
        </w:trPr>
        <w:tc>
          <w:tcPr>
            <w:tcW w:w="162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hint="eastAsia" w:ascii="仿宋_GB2312" w:hAnsi="微软雅黑" w:eastAsia="仿宋_GB2312" w:cs="宋体"/>
                <w:kern w:val="0"/>
                <w:sz w:val="28"/>
                <w:szCs w:val="28"/>
              </w:rPr>
              <w:t>三类培训</w:t>
            </w:r>
          </w:p>
        </w:tc>
        <w:tc>
          <w:tcPr>
            <w:tcW w:w="144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270</w:t>
            </w:r>
          </w:p>
        </w:tc>
        <w:tc>
          <w:tcPr>
            <w:tcW w:w="1383"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130</w:t>
            </w:r>
          </w:p>
        </w:tc>
        <w:tc>
          <w:tcPr>
            <w:tcW w:w="198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30</w:t>
            </w:r>
          </w:p>
        </w:tc>
        <w:tc>
          <w:tcPr>
            <w:tcW w:w="1080"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20</w:t>
            </w:r>
          </w:p>
        </w:tc>
        <w:tc>
          <w:tcPr>
            <w:tcW w:w="2034" w:type="dxa"/>
            <w:shd w:val="clear" w:color="auto" w:fill="FFFFFF"/>
            <w:tcMar>
              <w:top w:w="107" w:type="dxa"/>
              <w:left w:w="215" w:type="dxa"/>
              <w:bottom w:w="107" w:type="dxa"/>
              <w:right w:w="215" w:type="dxa"/>
            </w:tcMar>
            <w:vAlign w:val="center"/>
          </w:tcPr>
          <w:p>
            <w:pPr>
              <w:widowControl/>
              <w:spacing w:line="570" w:lineRule="exact"/>
              <w:jc w:val="center"/>
              <w:rPr>
                <w:rFonts w:ascii="微软雅黑" w:hAnsi="微软雅黑" w:eastAsia="微软雅黑" w:cs="宋体"/>
                <w:kern w:val="0"/>
                <w:sz w:val="28"/>
                <w:szCs w:val="28"/>
              </w:rPr>
            </w:pPr>
            <w:r>
              <w:rPr>
                <w:rFonts w:ascii="仿宋_GB2312" w:hAnsi="微软雅黑" w:eastAsia="仿宋_GB2312" w:cs="宋体"/>
                <w:kern w:val="0"/>
                <w:sz w:val="28"/>
                <w:szCs w:val="28"/>
              </w:rPr>
              <w:t>450</w:t>
            </w:r>
          </w:p>
        </w:tc>
      </w:tr>
    </w:tbl>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一类培训是指参训人员主要为正高级技术职称或厅局级人员的培训项目（指该级别人员占参训人数的</w:t>
      </w:r>
      <w:r>
        <w:rPr>
          <w:rFonts w:ascii="仿宋_GB2312" w:hAnsi="微软雅黑" w:eastAsia="仿宋_GB2312" w:cs="宋体"/>
          <w:kern w:val="0"/>
          <w:sz w:val="32"/>
          <w:szCs w:val="32"/>
        </w:rPr>
        <w:t>50%</w:t>
      </w:r>
      <w:r>
        <w:rPr>
          <w:rFonts w:hint="eastAsia" w:ascii="仿宋_GB2312" w:hAnsi="微软雅黑" w:eastAsia="仿宋_GB2312" w:cs="宋体"/>
          <w:kern w:val="0"/>
          <w:sz w:val="32"/>
          <w:szCs w:val="32"/>
        </w:rPr>
        <w:t>以上，下同）。</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二类培训是指参训人员主要为副高级技术职称或处级人员的培训项目。</w:t>
      </w:r>
    </w:p>
    <w:p>
      <w:pPr>
        <w:widowControl/>
        <w:shd w:val="clear" w:color="auto" w:fill="FFFFFF"/>
        <w:spacing w:line="57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三类培训是指参训人员主要为中级技术职称及以下或科级及以下人员的培训项目。</w:t>
      </w:r>
    </w:p>
    <w:p>
      <w:pPr>
        <w:widowControl/>
        <w:shd w:val="clear" w:color="auto" w:fill="FFFFFF"/>
        <w:spacing w:line="57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离退休人员参训，按照离退休前的级别或职称认定。</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天以内的培训按照综合定额标准控制；超过</w:t>
      </w: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天的培训，超过天数按照综合定额标准的</w:t>
      </w:r>
      <w:r>
        <w:rPr>
          <w:rFonts w:ascii="仿宋_GB2312" w:hAnsi="微软雅黑" w:eastAsia="仿宋_GB2312" w:cs="宋体"/>
          <w:kern w:val="0"/>
          <w:sz w:val="32"/>
          <w:szCs w:val="32"/>
        </w:rPr>
        <w:t>70%</w:t>
      </w:r>
      <w:r>
        <w:rPr>
          <w:rFonts w:hint="eastAsia" w:ascii="仿宋_GB2312" w:hAnsi="微软雅黑" w:eastAsia="仿宋_GB2312" w:cs="宋体"/>
          <w:kern w:val="0"/>
          <w:sz w:val="32"/>
          <w:szCs w:val="32"/>
        </w:rPr>
        <w:t>控制。上述天数含报到和离开时间，报到和离开时间合计不得超过</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天。</w:t>
      </w:r>
    </w:p>
    <w:p>
      <w:pPr>
        <w:widowControl/>
        <w:shd w:val="clear" w:color="auto" w:fill="FFFFFF"/>
        <w:spacing w:line="57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第八条</w:t>
      </w:r>
      <w:r>
        <w:rPr>
          <w:rFonts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本地参训人员及工作人员可以根据需要安排住宿和用餐，倡导安排午休房或钟点房。</w:t>
      </w:r>
    </w:p>
    <w:p>
      <w:pPr>
        <w:widowControl/>
        <w:shd w:val="clear" w:color="auto" w:fill="FFFFFF"/>
        <w:spacing w:line="570" w:lineRule="exact"/>
        <w:ind w:firstLine="643" w:firstLineChars="200"/>
        <w:rPr>
          <w:rFonts w:ascii="微软雅黑" w:hAnsi="微软雅黑" w:eastAsia="微软雅黑" w:cs="宋体"/>
          <w:kern w:val="0"/>
          <w:sz w:val="32"/>
          <w:szCs w:val="32"/>
        </w:rPr>
      </w:pPr>
      <w:r>
        <w:rPr>
          <w:rFonts w:hint="eastAsia" w:ascii="仿宋_GB2312" w:hAnsi="宋体" w:eastAsia="仿宋_GB2312" w:cs="宋体"/>
          <w:b/>
          <w:bCs/>
          <w:kern w:val="0"/>
          <w:sz w:val="32"/>
          <w:szCs w:val="32"/>
        </w:rPr>
        <w:t>第九条</w:t>
      </w:r>
      <w:r>
        <w:rPr>
          <w:rFonts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师资费在综合定额标准外单独核算。</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Courier New" w:hAnsi="Courier New" w:cs="Courier New"/>
          <w:kern w:val="0"/>
          <w:sz w:val="32"/>
          <w:szCs w:val="32"/>
        </w:rPr>
        <w:t>（一）</w:t>
      </w:r>
      <w:r>
        <w:rPr>
          <w:rFonts w:hint="eastAsia" w:ascii="仿宋_GB2312" w:hAnsi="宋体" w:eastAsia="仿宋_GB2312" w:cs="宋体"/>
          <w:kern w:val="0"/>
          <w:sz w:val="32"/>
          <w:szCs w:val="32"/>
        </w:rPr>
        <w:t>讲课费（税后）执行以下标准：中级技术职称及以下专业人员或乡科级及以下人员每学时最高不超过</w:t>
      </w:r>
      <w:r>
        <w:rPr>
          <w:rFonts w:ascii="仿宋_GB2312" w:hAnsi="微软雅黑" w:eastAsia="仿宋_GB2312" w:cs="宋体"/>
          <w:kern w:val="0"/>
          <w:sz w:val="32"/>
          <w:szCs w:val="32"/>
        </w:rPr>
        <w:t>400</w:t>
      </w:r>
      <w:r>
        <w:rPr>
          <w:rFonts w:hint="eastAsia" w:ascii="仿宋_GB2312" w:hAnsi="微软雅黑" w:eastAsia="仿宋_GB2312" w:cs="宋体"/>
          <w:kern w:val="0"/>
          <w:sz w:val="32"/>
          <w:szCs w:val="32"/>
        </w:rPr>
        <w:t>元；副高级职称或县处级人员每学时最高不超过</w:t>
      </w:r>
      <w:r>
        <w:rPr>
          <w:rFonts w:ascii="仿宋_GB2312" w:hAnsi="微软雅黑" w:eastAsia="仿宋_GB2312" w:cs="宋体"/>
          <w:kern w:val="0"/>
          <w:sz w:val="32"/>
          <w:szCs w:val="32"/>
        </w:rPr>
        <w:t>500</w:t>
      </w:r>
      <w:r>
        <w:rPr>
          <w:rFonts w:hint="eastAsia" w:ascii="仿宋_GB2312" w:hAnsi="微软雅黑" w:eastAsia="仿宋_GB2312" w:cs="宋体"/>
          <w:kern w:val="0"/>
          <w:sz w:val="32"/>
          <w:szCs w:val="32"/>
        </w:rPr>
        <w:t>元；正高级职称或厅局级人员每学时最高不超过</w:t>
      </w:r>
      <w:r>
        <w:rPr>
          <w:rFonts w:ascii="仿宋_GB2312" w:hAnsi="微软雅黑" w:eastAsia="仿宋_GB2312" w:cs="宋体"/>
          <w:kern w:val="0"/>
          <w:sz w:val="32"/>
          <w:szCs w:val="32"/>
        </w:rPr>
        <w:t>1000</w:t>
      </w:r>
      <w:r>
        <w:rPr>
          <w:rFonts w:hint="eastAsia" w:ascii="仿宋_GB2312" w:hAnsi="微软雅黑" w:eastAsia="仿宋_GB2312" w:cs="宋体"/>
          <w:kern w:val="0"/>
          <w:sz w:val="32"/>
          <w:szCs w:val="32"/>
        </w:rPr>
        <w:t>元；院士、全国知名专家或省部级人员每学时一般不超过</w:t>
      </w:r>
      <w:r>
        <w:rPr>
          <w:rFonts w:ascii="仿宋_GB2312" w:hAnsi="微软雅黑" w:eastAsia="仿宋_GB2312" w:cs="宋体"/>
          <w:kern w:val="0"/>
          <w:sz w:val="32"/>
          <w:szCs w:val="32"/>
        </w:rPr>
        <w:t>1500</w:t>
      </w:r>
      <w:r>
        <w:rPr>
          <w:rFonts w:hint="eastAsia" w:ascii="仿宋_GB2312" w:hAnsi="微软雅黑" w:eastAsia="仿宋_GB2312" w:cs="宋体"/>
          <w:kern w:val="0"/>
          <w:sz w:val="32"/>
          <w:szCs w:val="32"/>
        </w:rPr>
        <w:t>元。既有行政级别、又有技术职称的，就高执行。</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讲课费按实际发生的学时计算，每半天（或晚上）最多按</w:t>
      </w:r>
      <w:r>
        <w:rPr>
          <w:rFonts w:ascii="仿宋_GB2312" w:hAnsi="微软雅黑" w:eastAsia="仿宋_GB2312" w:cs="宋体"/>
          <w:kern w:val="0"/>
          <w:sz w:val="32"/>
          <w:szCs w:val="32"/>
        </w:rPr>
        <w:t>4</w:t>
      </w:r>
      <w:r>
        <w:rPr>
          <w:rFonts w:hint="eastAsia" w:ascii="仿宋_GB2312" w:hAnsi="微软雅黑" w:eastAsia="仿宋_GB2312" w:cs="宋体"/>
          <w:kern w:val="0"/>
          <w:sz w:val="32"/>
          <w:szCs w:val="32"/>
        </w:rPr>
        <w:t>学时计算（每学时按</w:t>
      </w:r>
      <w:r>
        <w:rPr>
          <w:rFonts w:ascii="仿宋_GB2312" w:hAnsi="微软雅黑" w:eastAsia="仿宋_GB2312" w:cs="宋体"/>
          <w:kern w:val="0"/>
          <w:sz w:val="32"/>
          <w:szCs w:val="32"/>
        </w:rPr>
        <w:t>45</w:t>
      </w:r>
      <w:r>
        <w:rPr>
          <w:rFonts w:hint="eastAsia" w:ascii="仿宋_GB2312" w:hAnsi="微软雅黑" w:eastAsia="仿宋_GB2312" w:cs="宋体"/>
          <w:kern w:val="0"/>
          <w:sz w:val="32"/>
          <w:szCs w:val="32"/>
        </w:rPr>
        <w:t>分钟计算）。</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同时为多班次一并授课的，不重复计算讲课费。</w:t>
      </w:r>
    </w:p>
    <w:p>
      <w:pPr>
        <w:widowControl/>
        <w:shd w:val="clear" w:color="auto" w:fill="FFFFFF"/>
        <w:spacing w:line="57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本校人员（含退休人员）为培训班授课的，讲课费按照上述标准的</w:t>
      </w:r>
      <w:r>
        <w:rPr>
          <w:rFonts w:ascii="仿宋_GB2312" w:hAnsi="微软雅黑" w:eastAsia="仿宋_GB2312" w:cs="宋体"/>
          <w:kern w:val="0"/>
          <w:sz w:val="32"/>
          <w:szCs w:val="32"/>
        </w:rPr>
        <w:t>50%</w:t>
      </w:r>
      <w:r>
        <w:rPr>
          <w:rFonts w:hint="eastAsia" w:ascii="仿宋_GB2312" w:hAnsi="微软雅黑" w:eastAsia="仿宋_GB2312" w:cs="宋体"/>
          <w:kern w:val="0"/>
          <w:sz w:val="32"/>
          <w:szCs w:val="32"/>
        </w:rPr>
        <w:t>发放。</w:t>
      </w:r>
    </w:p>
    <w:p>
      <w:pPr>
        <w:widowControl/>
        <w:shd w:val="clear" w:color="auto" w:fill="FFFFFF"/>
        <w:spacing w:line="570" w:lineRule="exact"/>
        <w:ind w:firstLine="640" w:firstLineChars="200"/>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rPr>
        <w:t>（二）授课老师的城市间交通费和住宿费按照差旅费有关规定和标准执行。</w:t>
      </w:r>
    </w:p>
    <w:p>
      <w:pPr>
        <w:widowControl/>
        <w:shd w:val="clear" w:color="auto" w:fill="FFFFFF"/>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授课老师携带的助手，不发放讲课费，其城市间交通费、住宿费按照差旅费有关规定和标准执行。</w:t>
      </w:r>
    </w:p>
    <w:p>
      <w:pPr>
        <w:widowControl/>
        <w:numPr>
          <w:ilvl w:val="0"/>
          <w:numId w:val="1"/>
        </w:numPr>
        <w:shd w:val="clear" w:color="auto" w:fill="FFFFFF"/>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培训工作确有需要从异地（含境外）邀请授课老师，路途时间较长的，经学校主要领导书面批准，讲课费可以适当增加。</w:t>
      </w:r>
    </w:p>
    <w:p>
      <w:pPr>
        <w:widowControl/>
        <w:numPr>
          <w:ilvl w:val="0"/>
          <w:numId w:val="1"/>
        </w:numPr>
        <w:shd w:val="clear" w:color="auto" w:fill="FFFFFF"/>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需要购买授课录像版权、以供后续培训播放使用时，应经过授课老师同意、分管校领导审核、学校主要领导审批后，按最多不超过</w:t>
      </w:r>
      <w:r>
        <w:rPr>
          <w:rFonts w:ascii="仿宋_GB2312" w:hAnsi="宋体" w:eastAsia="仿宋_GB2312" w:cs="宋体"/>
          <w:kern w:val="0"/>
          <w:sz w:val="32"/>
          <w:szCs w:val="32"/>
        </w:rPr>
        <w:t>3</w:t>
      </w:r>
      <w:r>
        <w:rPr>
          <w:rFonts w:hint="eastAsia" w:ascii="仿宋_GB2312" w:hAnsi="宋体" w:eastAsia="仿宋_GB2312" w:cs="宋体"/>
          <w:kern w:val="0"/>
          <w:sz w:val="32"/>
          <w:szCs w:val="32"/>
        </w:rPr>
        <w:t>次授课的</w:t>
      </w:r>
      <w:r>
        <w:rPr>
          <w:rFonts w:hint="eastAsia" w:ascii="仿宋_GB2312" w:hAnsi="微软雅黑" w:eastAsia="仿宋_GB2312" w:cs="宋体"/>
          <w:kern w:val="0"/>
          <w:sz w:val="32"/>
          <w:szCs w:val="32"/>
        </w:rPr>
        <w:t>讲课费</w:t>
      </w:r>
      <w:r>
        <w:rPr>
          <w:rFonts w:hint="eastAsia" w:ascii="仿宋_GB2312" w:hAnsi="宋体" w:eastAsia="仿宋_GB2312" w:cs="宋体"/>
          <w:kern w:val="0"/>
          <w:sz w:val="32"/>
          <w:szCs w:val="32"/>
        </w:rPr>
        <w:t>标准一次性计算讲课费。</w:t>
      </w:r>
    </w:p>
    <w:p>
      <w:pPr>
        <w:widowControl/>
        <w:shd w:val="clear" w:color="auto" w:fill="FFFFFF"/>
        <w:spacing w:line="570" w:lineRule="exact"/>
        <w:ind w:firstLine="643" w:firstLineChars="200"/>
        <w:rPr>
          <w:rFonts w:ascii="微软雅黑" w:hAnsi="微软雅黑" w:eastAsia="仿宋_GB2312" w:cs="宋体"/>
          <w:kern w:val="0"/>
          <w:sz w:val="32"/>
          <w:szCs w:val="32"/>
        </w:rPr>
      </w:pPr>
      <w:r>
        <w:rPr>
          <w:rFonts w:hint="eastAsia" w:ascii="仿宋_GB2312" w:hAnsi="微软雅黑" w:eastAsia="仿宋_GB2312" w:cs="宋体"/>
          <w:b/>
          <w:bCs/>
          <w:kern w:val="0"/>
          <w:sz w:val="32"/>
          <w:szCs w:val="32"/>
        </w:rPr>
        <w:t>第十条</w:t>
      </w:r>
      <w:r>
        <w:rPr>
          <w:rFonts w:ascii="仿宋_GB2312" w:hAnsi="宋体" w:eastAsia="仿宋_GB2312" w:cs="宋体"/>
          <w:kern w:val="0"/>
          <w:sz w:val="32"/>
          <w:szCs w:val="32"/>
        </w:rPr>
        <w:t xml:space="preserve">  </w:t>
      </w:r>
      <w:r>
        <w:rPr>
          <w:rFonts w:hint="eastAsia" w:ascii="仿宋_GB2312" w:hAnsi="微软雅黑" w:eastAsia="仿宋_GB2312" w:cs="宋体"/>
          <w:kern w:val="0"/>
          <w:sz w:val="32"/>
          <w:szCs w:val="32"/>
        </w:rPr>
        <w:t>在校内为本校师生开展讲座的，不安排参加人员用餐。授课老师城市间交通费、住宿费、伙食费按照省直机关差旅费有关规定和标准内凭据报销。</w:t>
      </w:r>
    </w:p>
    <w:p>
      <w:pPr>
        <w:widowControl/>
        <w:shd w:val="clear" w:color="auto" w:fill="FFFFFF"/>
        <w:spacing w:line="570" w:lineRule="exact"/>
        <w:jc w:val="center"/>
        <w:rPr>
          <w:rFonts w:ascii="微软雅黑" w:hAnsi="微软雅黑" w:eastAsia="微软雅黑" w:cs="宋体"/>
          <w:kern w:val="0"/>
          <w:sz w:val="32"/>
          <w:szCs w:val="32"/>
        </w:rPr>
      </w:pPr>
      <w:r>
        <w:rPr>
          <w:rFonts w:hint="eastAsia" w:ascii="黑体" w:hAnsi="黑体" w:eastAsia="黑体" w:cs="宋体"/>
          <w:kern w:val="0"/>
          <w:sz w:val="32"/>
          <w:szCs w:val="32"/>
        </w:rPr>
        <w:t>第四章</w:t>
      </w:r>
      <w:r>
        <w:rPr>
          <w:rFonts w:ascii="黑体" w:hAnsi="黑体" w:eastAsia="黑体" w:cs="宋体"/>
          <w:kern w:val="0"/>
          <w:sz w:val="32"/>
          <w:szCs w:val="32"/>
        </w:rPr>
        <w:t xml:space="preserve"> </w:t>
      </w:r>
      <w:r>
        <w:rPr>
          <w:rFonts w:ascii="宋体" w:cs="宋体"/>
          <w:kern w:val="0"/>
          <w:sz w:val="32"/>
          <w:szCs w:val="32"/>
        </w:rPr>
        <w:t> </w:t>
      </w:r>
      <w:r>
        <w:rPr>
          <w:rFonts w:hint="eastAsia" w:ascii="黑体" w:hAnsi="黑体" w:eastAsia="黑体" w:cs="宋体"/>
          <w:kern w:val="0"/>
          <w:sz w:val="32"/>
          <w:szCs w:val="32"/>
        </w:rPr>
        <w:t>培训组织</w:t>
      </w:r>
    </w:p>
    <w:p>
      <w:pPr>
        <w:widowControl/>
        <w:shd w:val="clear" w:color="auto" w:fill="FFFFFF"/>
        <w:spacing w:line="570" w:lineRule="exact"/>
        <w:ind w:firstLine="643" w:firstLineChars="200"/>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第十一条</w:t>
      </w:r>
      <w:r>
        <w:rPr>
          <w:rFonts w:ascii="仿宋_GB2312" w:hAnsi="微软雅黑" w:eastAsia="仿宋_GB2312" w:cs="宋体"/>
          <w:b/>
          <w:bCs/>
          <w:kern w:val="0"/>
          <w:sz w:val="32"/>
          <w:szCs w:val="32"/>
        </w:rPr>
        <w:t xml:space="preserve">  </w:t>
      </w:r>
      <w:r>
        <w:rPr>
          <w:rFonts w:hint="eastAsia" w:ascii="仿宋_GB2312" w:hAnsi="微软雅黑" w:eastAsia="仿宋_GB2312" w:cs="宋体"/>
          <w:kern w:val="0"/>
          <w:sz w:val="32"/>
          <w:szCs w:val="32"/>
        </w:rPr>
        <w:t>各单位开展培训，应优先考虑本校场所。尽量利用网络、视频等信息化手段，推行自主选学、在职自学等方式，着力降低培训成本，提高培训效率。</w:t>
      </w:r>
    </w:p>
    <w:p>
      <w:pPr>
        <w:widowControl/>
        <w:shd w:val="clear" w:color="auto" w:fill="FFFFFF"/>
        <w:spacing w:line="57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第十二条</w:t>
      </w:r>
      <w:r>
        <w:rPr>
          <w:rFonts w:ascii="仿宋_GB2312" w:hAnsi="微软雅黑" w:eastAsia="仿宋_GB2312" w:cs="宋体"/>
          <w:b/>
          <w:bCs/>
          <w:kern w:val="0"/>
          <w:sz w:val="32"/>
          <w:szCs w:val="32"/>
        </w:rPr>
        <w:t xml:space="preserve">  </w:t>
      </w:r>
      <w:r>
        <w:rPr>
          <w:rFonts w:hint="eastAsia" w:ascii="仿宋_GB2312" w:hAnsi="微软雅黑" w:eastAsia="仿宋_GB2312" w:cs="宋体"/>
          <w:kern w:val="0"/>
          <w:sz w:val="32"/>
          <w:szCs w:val="32"/>
        </w:rPr>
        <w:t>各单位可以在开支范围和标准内委托符合条件的高校、科研院所、社会培训机构等承办，优先选择党校、行政学院、干部学院以及组织人事部门认可的培训机构。</w:t>
      </w:r>
    </w:p>
    <w:p>
      <w:pPr>
        <w:widowControl/>
        <w:shd w:val="clear" w:color="auto" w:fill="FFFFFF"/>
        <w:spacing w:line="57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签订合同或协议时，应当对可预见的不会发生的培训费事项，按照前表中的明细标准进行扣减，或在相关条款中明确。</w:t>
      </w:r>
    </w:p>
    <w:p>
      <w:pPr>
        <w:widowControl/>
        <w:shd w:val="clear" w:color="auto" w:fill="FFFFFF"/>
        <w:spacing w:line="570" w:lineRule="exact"/>
        <w:ind w:firstLine="643" w:firstLineChars="200"/>
        <w:rPr>
          <w:rFonts w:ascii="微软雅黑" w:hAnsi="微软雅黑" w:eastAsia="微软雅黑" w:cs="宋体"/>
          <w:kern w:val="0"/>
          <w:sz w:val="32"/>
          <w:szCs w:val="32"/>
        </w:rPr>
      </w:pPr>
      <w:r>
        <w:rPr>
          <w:rFonts w:hint="eastAsia" w:ascii="仿宋_GB2312" w:hAnsi="微软雅黑" w:eastAsia="仿宋_GB2312" w:cs="宋体"/>
          <w:b/>
          <w:bCs/>
          <w:kern w:val="0"/>
          <w:sz w:val="32"/>
          <w:szCs w:val="32"/>
        </w:rPr>
        <w:t>第十三条</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组织培训的工作人员应当控制在参训人员数量的</w:t>
      </w:r>
      <w:r>
        <w:rPr>
          <w:rFonts w:ascii="仿宋_GB2312" w:hAnsi="微软雅黑" w:eastAsia="仿宋_GB2312" w:cs="宋体"/>
          <w:kern w:val="0"/>
          <w:sz w:val="32"/>
          <w:szCs w:val="32"/>
        </w:rPr>
        <w:t>8%</w:t>
      </w:r>
      <w:r>
        <w:rPr>
          <w:rFonts w:hint="eastAsia" w:ascii="仿宋_GB2312" w:hAnsi="微软雅黑" w:eastAsia="仿宋_GB2312" w:cs="宋体"/>
          <w:kern w:val="0"/>
          <w:sz w:val="32"/>
          <w:szCs w:val="32"/>
        </w:rPr>
        <w:t>以内，最多不超过</w:t>
      </w:r>
      <w:r>
        <w:rPr>
          <w:rFonts w:ascii="仿宋_GB2312" w:hAnsi="微软雅黑" w:eastAsia="仿宋_GB2312" w:cs="宋体"/>
          <w:kern w:val="0"/>
          <w:sz w:val="32"/>
          <w:szCs w:val="32"/>
        </w:rPr>
        <w:t>10</w:t>
      </w:r>
      <w:r>
        <w:rPr>
          <w:rFonts w:hint="eastAsia" w:ascii="仿宋_GB2312" w:hAnsi="微软雅黑" w:eastAsia="仿宋_GB2312" w:cs="宋体"/>
          <w:kern w:val="0"/>
          <w:sz w:val="32"/>
          <w:szCs w:val="32"/>
        </w:rPr>
        <w:t>人。</w:t>
      </w:r>
    </w:p>
    <w:p>
      <w:pPr>
        <w:widowControl/>
        <w:shd w:val="clear" w:color="auto" w:fill="FFFFFF"/>
        <w:spacing w:line="570" w:lineRule="exact"/>
        <w:ind w:firstLine="643" w:firstLineChars="200"/>
        <w:rPr>
          <w:rFonts w:ascii="微软雅黑" w:hAnsi="微软雅黑" w:eastAsia="微软雅黑" w:cs="宋体"/>
          <w:kern w:val="0"/>
          <w:sz w:val="32"/>
          <w:szCs w:val="32"/>
        </w:rPr>
      </w:pPr>
      <w:r>
        <w:rPr>
          <w:rFonts w:hint="eastAsia" w:ascii="仿宋_GB2312" w:hAnsi="微软雅黑" w:eastAsia="仿宋_GB2312" w:cs="宋体"/>
          <w:b/>
          <w:bCs/>
          <w:kern w:val="0"/>
          <w:sz w:val="32"/>
          <w:szCs w:val="32"/>
        </w:rPr>
        <w:t>第十四条</w:t>
      </w:r>
      <w:r>
        <w:rPr>
          <w:rFonts w:ascii="仿宋_GB2312" w:hAnsi="微软雅黑" w:eastAsia="仿宋_GB2312" w:cs="宋体"/>
          <w:b/>
          <w:bCs/>
          <w:kern w:val="0"/>
          <w:sz w:val="32"/>
          <w:szCs w:val="32"/>
        </w:rPr>
        <w:t xml:space="preserve">  </w:t>
      </w:r>
      <w:r>
        <w:rPr>
          <w:rFonts w:hint="eastAsia" w:ascii="仿宋_GB2312" w:hAnsi="微软雅黑" w:eastAsia="仿宋_GB2312" w:cs="宋体"/>
          <w:kern w:val="0"/>
          <w:sz w:val="32"/>
          <w:szCs w:val="32"/>
        </w:rPr>
        <w:t>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pPr>
        <w:widowControl/>
        <w:shd w:val="clear" w:color="auto" w:fill="FFFFFF"/>
        <w:spacing w:line="570" w:lineRule="exact"/>
        <w:ind w:firstLine="634"/>
        <w:rPr>
          <w:rFonts w:ascii="微软雅黑" w:hAnsi="微软雅黑" w:eastAsia="微软雅黑" w:cs="宋体"/>
          <w:kern w:val="0"/>
          <w:sz w:val="32"/>
          <w:szCs w:val="32"/>
        </w:rPr>
      </w:pPr>
      <w:r>
        <w:rPr>
          <w:rFonts w:hint="eastAsia" w:ascii="仿宋_GB2312" w:hAnsi="微软雅黑" w:eastAsia="仿宋_GB2312" w:cs="宋体"/>
          <w:kern w:val="0"/>
          <w:sz w:val="32"/>
          <w:szCs w:val="32"/>
        </w:rPr>
        <w:t>培训住宿不得安排高档套房，不得额外配发洗漱用品；培训用餐不得提供高档菜肴，不得提供烟酒；除必要的现场教学外，</w:t>
      </w:r>
      <w:r>
        <w:rPr>
          <w:rFonts w:ascii="仿宋_GB2312" w:hAnsi="微软雅黑" w:eastAsia="仿宋_GB2312" w:cs="宋体"/>
          <w:kern w:val="0"/>
          <w:sz w:val="32"/>
          <w:szCs w:val="32"/>
        </w:rPr>
        <w:t>7</w:t>
      </w:r>
      <w:r>
        <w:rPr>
          <w:rFonts w:hint="eastAsia" w:ascii="仿宋_GB2312" w:hAnsi="微软雅黑" w:eastAsia="仿宋_GB2312" w:cs="宋体"/>
          <w:kern w:val="0"/>
          <w:sz w:val="32"/>
          <w:szCs w:val="32"/>
        </w:rPr>
        <w:t>日以内的培训不得组织调研、考察、参观。</w:t>
      </w:r>
    </w:p>
    <w:p>
      <w:pPr>
        <w:widowControl/>
        <w:shd w:val="clear" w:color="auto" w:fill="FFFFFF"/>
        <w:spacing w:line="570" w:lineRule="exact"/>
        <w:ind w:firstLine="643" w:firstLineChars="200"/>
        <w:rPr>
          <w:rFonts w:ascii="微软雅黑" w:hAnsi="微软雅黑" w:eastAsia="微软雅黑" w:cs="宋体"/>
          <w:kern w:val="0"/>
          <w:sz w:val="32"/>
          <w:szCs w:val="32"/>
        </w:rPr>
      </w:pPr>
      <w:r>
        <w:rPr>
          <w:rFonts w:hint="eastAsia" w:ascii="仿宋_GB2312" w:hAnsi="微软雅黑" w:eastAsia="仿宋_GB2312" w:cs="宋体"/>
          <w:b/>
          <w:bCs/>
          <w:kern w:val="0"/>
          <w:sz w:val="32"/>
          <w:szCs w:val="32"/>
        </w:rPr>
        <w:t>第十五条</w:t>
      </w:r>
      <w:r>
        <w:rPr>
          <w:rFonts w:ascii="仿宋_GB2312" w:hAnsi="微软雅黑" w:eastAsia="仿宋_GB2312" w:cs="宋体"/>
          <w:b/>
          <w:bCs/>
          <w:kern w:val="0"/>
          <w:sz w:val="32"/>
          <w:szCs w:val="32"/>
        </w:rPr>
        <w:t xml:space="preserve">  </w:t>
      </w:r>
      <w:r>
        <w:rPr>
          <w:rFonts w:hint="eastAsia" w:ascii="仿宋_GB2312" w:hAnsi="微软雅黑" w:eastAsia="仿宋_GB2312" w:cs="宋体"/>
          <w:kern w:val="0"/>
          <w:sz w:val="32"/>
          <w:szCs w:val="32"/>
        </w:rPr>
        <w:t>邀请境内师资讲课，培训举办单位应当发出公函邀请；邀请校内人员讲课，应经单位分管校领导审批；邀请境外师资讲课，应严格按照有关外事管理规定，履行审批手续。</w:t>
      </w:r>
    </w:p>
    <w:p>
      <w:pPr>
        <w:widowControl/>
        <w:shd w:val="clear" w:color="auto" w:fill="FFFFFF"/>
        <w:spacing w:line="570" w:lineRule="exact"/>
        <w:ind w:firstLine="619"/>
        <w:rPr>
          <w:rFonts w:ascii="微软雅黑" w:hAnsi="微软雅黑" w:eastAsia="微软雅黑" w:cs="宋体"/>
          <w:kern w:val="0"/>
          <w:sz w:val="32"/>
          <w:szCs w:val="32"/>
        </w:rPr>
      </w:pPr>
      <w:r>
        <w:rPr>
          <w:rFonts w:hint="eastAsia" w:ascii="仿宋_GB2312" w:hAnsi="微软雅黑" w:eastAsia="仿宋_GB2312" w:cs="宋体"/>
          <w:kern w:val="0"/>
          <w:sz w:val="32"/>
          <w:szCs w:val="32"/>
        </w:rPr>
        <w:t>境内师资能够满足培训需要的，不得邀请境外师资。</w:t>
      </w:r>
    </w:p>
    <w:p>
      <w:pPr>
        <w:widowControl/>
        <w:shd w:val="clear" w:color="auto" w:fill="FFFFFF"/>
        <w:spacing w:line="570" w:lineRule="exact"/>
        <w:ind w:firstLine="619"/>
        <w:rPr>
          <w:rFonts w:ascii="仿宋_GB2312" w:hAnsi="微软雅黑" w:eastAsia="仿宋_GB2312" w:cs="宋体"/>
          <w:kern w:val="0"/>
          <w:sz w:val="32"/>
          <w:szCs w:val="32"/>
        </w:rPr>
      </w:pPr>
      <w:r>
        <w:rPr>
          <w:rFonts w:hint="eastAsia" w:ascii="仿宋_GB2312" w:hAnsi="微软雅黑" w:eastAsia="仿宋_GB2312" w:cs="宋体"/>
          <w:kern w:val="0"/>
          <w:sz w:val="32"/>
          <w:szCs w:val="32"/>
        </w:rPr>
        <w:t>从事培训工作的人员就本职工作所做的讲话、小结等，不列入师资范围。</w:t>
      </w:r>
    </w:p>
    <w:p>
      <w:pPr>
        <w:widowControl/>
        <w:shd w:val="clear" w:color="auto" w:fill="FFFFFF"/>
        <w:spacing w:line="570" w:lineRule="exact"/>
        <w:ind w:firstLine="643" w:firstLineChars="200"/>
        <w:rPr>
          <w:rFonts w:ascii="仿宋_GB2312" w:hAnsi="微软雅黑" w:eastAsia="仿宋_GB2312" w:cs="宋体"/>
          <w:color w:val="C0504D"/>
          <w:kern w:val="0"/>
          <w:sz w:val="32"/>
          <w:szCs w:val="32"/>
        </w:rPr>
      </w:pPr>
      <w:r>
        <w:rPr>
          <w:rFonts w:hint="eastAsia" w:ascii="仿宋_GB2312" w:hAnsi="微软雅黑" w:eastAsia="仿宋_GB2312" w:cs="宋体"/>
          <w:b/>
          <w:bCs/>
          <w:kern w:val="0"/>
          <w:sz w:val="32"/>
          <w:szCs w:val="32"/>
        </w:rPr>
        <w:t>第十六条</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各单位应当注重教学设计和质量评估，通过需求调研、课程设计和开发、专家论证、评估反馈等环节，推进培训工作科学化、精准化；注重运用大数据、“互联网</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”等现代信息技术手段开展培训和管理。</w:t>
      </w:r>
    </w:p>
    <w:p>
      <w:pPr>
        <w:widowControl/>
        <w:shd w:val="clear" w:color="auto" w:fill="FFFFFF"/>
        <w:spacing w:line="570" w:lineRule="exact"/>
        <w:jc w:val="center"/>
        <w:rPr>
          <w:rFonts w:ascii="黑体" w:hAnsi="黑体" w:eastAsia="黑体" w:cs="宋体"/>
          <w:kern w:val="0"/>
          <w:sz w:val="32"/>
          <w:szCs w:val="32"/>
        </w:rPr>
      </w:pPr>
      <w:r>
        <w:rPr>
          <w:rFonts w:hint="eastAsia" w:ascii="黑体" w:hAnsi="黑体" w:eastAsia="黑体" w:cs="宋体"/>
          <w:kern w:val="0"/>
          <w:sz w:val="32"/>
          <w:szCs w:val="32"/>
        </w:rPr>
        <w:t>第五章</w:t>
      </w:r>
      <w:r>
        <w:rPr>
          <w:rFonts w:ascii="黑体" w:hAnsi="黑体" w:eastAsia="黑体" w:cs="宋体"/>
          <w:kern w:val="0"/>
          <w:sz w:val="32"/>
          <w:szCs w:val="32"/>
        </w:rPr>
        <w:t xml:space="preserve"> </w:t>
      </w:r>
      <w:r>
        <w:rPr>
          <w:rFonts w:ascii="黑体" w:hAnsi="微软雅黑" w:eastAsia="黑体" w:cs="宋体"/>
          <w:kern w:val="0"/>
          <w:sz w:val="32"/>
          <w:szCs w:val="32"/>
        </w:rPr>
        <w:t> </w:t>
      </w:r>
      <w:r>
        <w:rPr>
          <w:rFonts w:hint="eastAsia" w:ascii="黑体" w:hAnsi="黑体" w:eastAsia="黑体" w:cs="宋体"/>
          <w:kern w:val="0"/>
          <w:sz w:val="32"/>
          <w:szCs w:val="32"/>
        </w:rPr>
        <w:t>报销结算</w:t>
      </w:r>
    </w:p>
    <w:p>
      <w:pPr>
        <w:widowControl/>
        <w:shd w:val="clear" w:color="auto" w:fill="FFFFFF"/>
        <w:spacing w:line="570" w:lineRule="exact"/>
        <w:ind w:firstLine="643" w:firstLineChars="200"/>
        <w:jc w:val="left"/>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第十七条</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培训费报销：</w:t>
      </w:r>
    </w:p>
    <w:p>
      <w:pPr>
        <w:widowControl/>
        <w:shd w:val="clear" w:color="auto" w:fill="FFFFFF"/>
        <w:spacing w:line="57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自行组织的，须提供：培训计划审批文件或会议纪要、培训通知、培训课程安排、培训费预算单和结算单（格式附后）、实际参训人员签到表（每天分上下午或晚上，下同）、师资审批文件（邀请函等）以及宾馆或酒店出具的发票、费用明细等凭证。</w:t>
      </w:r>
    </w:p>
    <w:p>
      <w:pPr>
        <w:widowControl/>
        <w:shd w:val="clear" w:color="auto" w:fill="FFFFFF"/>
        <w:spacing w:line="570" w:lineRule="exact"/>
        <w:ind w:firstLine="640" w:firstLineChars="200"/>
        <w:jc w:val="left"/>
        <w:rPr>
          <w:rFonts w:ascii="仿宋_GB2312" w:hAnsi="微软雅黑" w:eastAsia="仿宋_GB2312" w:cs="宋体"/>
          <w:b/>
          <w:bCs/>
          <w:kern w:val="0"/>
          <w:sz w:val="32"/>
          <w:szCs w:val="32"/>
        </w:rPr>
      </w:pPr>
      <w:r>
        <w:rPr>
          <w:rFonts w:hint="eastAsia" w:ascii="仿宋_GB2312" w:hAnsi="微软雅黑" w:eastAsia="仿宋_GB2312" w:cs="宋体"/>
          <w:kern w:val="0"/>
          <w:sz w:val="32"/>
          <w:szCs w:val="32"/>
        </w:rPr>
        <w:t>（二）委托校外单位承办的，须提供：培训计划审批文件或会议纪要、培训通知、培训课程安排、培训费预算单和结算单、实际参训人员签到表以及委托办班合同或协议、培训单位出具的收款票据、费用明细等凭证。</w:t>
      </w:r>
    </w:p>
    <w:p>
      <w:pPr>
        <w:widowControl/>
        <w:shd w:val="clear" w:color="auto" w:fill="FFFFFF"/>
        <w:spacing w:line="570" w:lineRule="exact"/>
        <w:ind w:firstLine="640" w:firstLineChars="200"/>
        <w:rPr>
          <w:rFonts w:ascii="微软雅黑" w:hAnsi="微软雅黑" w:eastAsia="微软雅黑" w:cs="宋体"/>
          <w:kern w:val="0"/>
          <w:sz w:val="32"/>
          <w:szCs w:val="32"/>
        </w:rPr>
      </w:pPr>
      <w:r>
        <w:rPr>
          <w:rFonts w:hint="eastAsia" w:ascii="仿宋_GB2312" w:hAnsi="微软雅黑" w:eastAsia="仿宋_GB2312" w:cs="宋体"/>
          <w:kern w:val="0"/>
          <w:sz w:val="32"/>
          <w:szCs w:val="32"/>
        </w:rPr>
        <w:t>（三）报销师资费时，须提供授课老师的有关信息（含姓名、职称或职务、个人身份证件号码、银行卡号及开户银行等）或合同。师资费原则上由学校财务部门直接转至授课老师的个人账户，如需现金报销的，须提供讲课费签收单。</w:t>
      </w:r>
    </w:p>
    <w:p>
      <w:pPr>
        <w:widowControl/>
        <w:shd w:val="clear" w:color="auto" w:fill="FFFFFF"/>
        <w:spacing w:line="570" w:lineRule="exact"/>
        <w:ind w:firstLine="619"/>
        <w:rPr>
          <w:rFonts w:ascii="微软雅黑" w:hAnsi="微软雅黑" w:eastAsia="微软雅黑" w:cs="宋体"/>
          <w:kern w:val="0"/>
          <w:sz w:val="32"/>
          <w:szCs w:val="32"/>
        </w:rPr>
      </w:pPr>
      <w:r>
        <w:rPr>
          <w:rFonts w:hint="eastAsia" w:ascii="仿宋_GB2312" w:hAnsi="微软雅黑" w:eastAsia="仿宋_GB2312" w:cs="宋体"/>
          <w:kern w:val="0"/>
          <w:sz w:val="32"/>
          <w:szCs w:val="32"/>
        </w:rPr>
        <w:t>（四）学校财务部门应当严格按照规定审核培训费开支，对未履行审批程序的培训，以及</w:t>
      </w:r>
      <w:r>
        <w:rPr>
          <w:rFonts w:hint="eastAsia" w:ascii="仿宋_GB2312" w:hAnsi="仿宋_GB2312" w:eastAsia="仿宋_GB2312" w:cs="仿宋_GB2312"/>
          <w:color w:val="000000"/>
          <w:kern w:val="0"/>
          <w:sz w:val="32"/>
          <w:szCs w:val="32"/>
        </w:rPr>
        <w:t>超出范围、超出标准部分的费用</w:t>
      </w:r>
      <w:r>
        <w:rPr>
          <w:rFonts w:hint="eastAsia" w:ascii="仿宋_GB2312" w:hAnsi="微软雅黑" w:eastAsia="仿宋_GB2312" w:cs="宋体"/>
          <w:kern w:val="0"/>
          <w:sz w:val="32"/>
          <w:szCs w:val="32"/>
        </w:rPr>
        <w:t>，不予报销。</w:t>
      </w:r>
    </w:p>
    <w:p>
      <w:pPr>
        <w:widowControl/>
        <w:shd w:val="clear" w:color="auto" w:fill="FFFFFF"/>
        <w:spacing w:line="57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第十八条</w:t>
      </w:r>
      <w:r>
        <w:rPr>
          <w:rFonts w:ascii="仿宋_GB2312" w:hAnsi="微软雅黑" w:eastAsia="仿宋_GB2312" w:cs="宋体"/>
          <w:b/>
          <w:bCs/>
          <w:kern w:val="0"/>
          <w:sz w:val="32"/>
          <w:szCs w:val="32"/>
        </w:rPr>
        <w:t xml:space="preserve">  </w:t>
      </w:r>
      <w:r>
        <w:rPr>
          <w:rFonts w:hint="eastAsia" w:ascii="仿宋_GB2312" w:hAnsi="微软雅黑" w:eastAsia="仿宋_GB2312" w:cs="宋体"/>
          <w:kern w:val="0"/>
          <w:sz w:val="32"/>
          <w:szCs w:val="32"/>
        </w:rPr>
        <w:t>培训费的资金支付应当执行国库集中支付和公务卡管理有关制度规定。</w:t>
      </w:r>
    </w:p>
    <w:p>
      <w:pPr>
        <w:widowControl/>
        <w:shd w:val="clear" w:color="auto" w:fill="FFFFFF"/>
        <w:spacing w:line="570" w:lineRule="exact"/>
        <w:jc w:val="center"/>
        <w:rPr>
          <w:rFonts w:ascii="黑体" w:hAnsi="黑体" w:eastAsia="黑体" w:cs="宋体"/>
          <w:kern w:val="0"/>
          <w:sz w:val="32"/>
          <w:szCs w:val="32"/>
        </w:rPr>
      </w:pPr>
      <w:r>
        <w:rPr>
          <w:rFonts w:hint="eastAsia" w:ascii="黑体" w:hAnsi="黑体" w:eastAsia="黑体" w:cs="宋体"/>
          <w:kern w:val="0"/>
          <w:sz w:val="32"/>
          <w:szCs w:val="32"/>
        </w:rPr>
        <w:t>第六章</w:t>
      </w:r>
      <w:r>
        <w:rPr>
          <w:rFonts w:ascii="黑体" w:hAnsi="黑体" w:eastAsia="黑体" w:cs="宋体"/>
          <w:kern w:val="0"/>
          <w:sz w:val="32"/>
          <w:szCs w:val="32"/>
        </w:rPr>
        <w:t xml:space="preserve">  </w:t>
      </w:r>
      <w:r>
        <w:rPr>
          <w:rFonts w:hint="eastAsia" w:ascii="黑体" w:hAnsi="黑体" w:eastAsia="黑体" w:cs="宋体"/>
          <w:kern w:val="0"/>
          <w:sz w:val="32"/>
          <w:szCs w:val="32"/>
        </w:rPr>
        <w:t>监督检查</w:t>
      </w:r>
    </w:p>
    <w:p>
      <w:pPr>
        <w:widowControl/>
        <w:shd w:val="clear" w:color="auto" w:fill="FFFFFF"/>
        <w:spacing w:line="57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第十九条</w:t>
      </w:r>
      <w:r>
        <w:rPr>
          <w:rFonts w:ascii="仿宋_GB2312" w:hAnsi="微软雅黑" w:eastAsia="仿宋_GB2312" w:cs="宋体"/>
          <w:b/>
          <w:bCs/>
          <w:kern w:val="0"/>
          <w:sz w:val="32"/>
          <w:szCs w:val="32"/>
        </w:rPr>
        <w:t xml:space="preserve">  </w:t>
      </w:r>
      <w:r>
        <w:rPr>
          <w:rFonts w:hint="eastAsia" w:ascii="仿宋_GB2312" w:hAnsi="微软雅黑" w:eastAsia="仿宋_GB2312" w:cs="宋体"/>
          <w:kern w:val="0"/>
          <w:sz w:val="32"/>
          <w:szCs w:val="32"/>
        </w:rPr>
        <w:t>各单位负责人和培训工作人员应当强化责任意识，严守财经纪律和相关制度，不得弄虚作假，自觉接受有关方面的监督。</w:t>
      </w:r>
    </w:p>
    <w:p>
      <w:pPr>
        <w:widowControl/>
        <w:shd w:val="clear" w:color="auto" w:fill="FFFFFF"/>
        <w:spacing w:line="57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第二十条</w:t>
      </w:r>
      <w:r>
        <w:rPr>
          <w:rFonts w:ascii="仿宋_GB2312" w:hAnsi="微软雅黑" w:eastAsia="仿宋_GB2312" w:cs="宋体"/>
          <w:b/>
          <w:bCs/>
          <w:kern w:val="0"/>
          <w:sz w:val="32"/>
          <w:szCs w:val="32"/>
        </w:rPr>
        <w:t xml:space="preserve">  </w:t>
      </w:r>
      <w:r>
        <w:rPr>
          <w:rFonts w:hint="eastAsia" w:ascii="仿宋_GB2312" w:hAnsi="微软雅黑" w:eastAsia="仿宋_GB2312" w:cs="宋体"/>
          <w:kern w:val="0"/>
          <w:sz w:val="32"/>
          <w:szCs w:val="32"/>
        </w:rPr>
        <w:t>培训工作结束后，各单位应当以适当方式对项目内容、参训人数、经费使用等情况进行公开。</w:t>
      </w:r>
    </w:p>
    <w:p>
      <w:pPr>
        <w:widowControl/>
        <w:shd w:val="clear" w:color="auto" w:fill="FFFFFF"/>
        <w:spacing w:line="57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第二十一条</w:t>
      </w:r>
      <w:r>
        <w:rPr>
          <w:rFonts w:ascii="仿宋_GB2312" w:hAnsi="微软雅黑" w:eastAsia="仿宋_GB2312" w:cs="宋体"/>
          <w:b/>
          <w:bCs/>
          <w:kern w:val="0"/>
          <w:sz w:val="32"/>
          <w:szCs w:val="32"/>
        </w:rPr>
        <w:t xml:space="preserve">  </w:t>
      </w:r>
      <w:r>
        <w:rPr>
          <w:rFonts w:hint="eastAsia" w:ascii="仿宋_GB2312" w:hAnsi="微软雅黑" w:eastAsia="仿宋_GB2312" w:cs="宋体"/>
          <w:kern w:val="0"/>
          <w:sz w:val="32"/>
          <w:szCs w:val="32"/>
        </w:rPr>
        <w:t>学校审计部门对培训费管理使用情况进行监督检查。发现违反本规定行为的，将依法依规对相关责任人员予以相应处理。</w:t>
      </w:r>
    </w:p>
    <w:p>
      <w:pPr>
        <w:widowControl/>
        <w:shd w:val="clear" w:color="auto" w:fill="FFFFFF"/>
        <w:spacing w:line="57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第八章</w:t>
      </w:r>
      <w:r>
        <w:rPr>
          <w:rFonts w:ascii="黑体" w:hAnsi="黑体" w:eastAsia="黑体" w:cs="宋体"/>
          <w:bCs/>
          <w:kern w:val="0"/>
          <w:sz w:val="32"/>
          <w:szCs w:val="32"/>
        </w:rPr>
        <w:t xml:space="preserve"> </w:t>
      </w:r>
      <w:r>
        <w:rPr>
          <w:rFonts w:ascii="黑体" w:hAnsi="微软雅黑" w:eastAsia="黑体" w:cs="宋体"/>
          <w:bCs/>
          <w:kern w:val="0"/>
          <w:sz w:val="32"/>
          <w:szCs w:val="32"/>
        </w:rPr>
        <w:t> </w:t>
      </w:r>
      <w:r>
        <w:rPr>
          <w:rFonts w:hint="eastAsia" w:ascii="黑体" w:hAnsi="黑体" w:eastAsia="黑体" w:cs="宋体"/>
          <w:bCs/>
          <w:kern w:val="0"/>
          <w:sz w:val="32"/>
          <w:szCs w:val="32"/>
        </w:rPr>
        <w:t>附</w:t>
      </w:r>
      <w:r>
        <w:rPr>
          <w:rFonts w:ascii="黑体" w:hAnsi="黑体" w:eastAsia="黑体" w:cs="宋体"/>
          <w:bCs/>
          <w:kern w:val="0"/>
          <w:sz w:val="32"/>
          <w:szCs w:val="32"/>
        </w:rPr>
        <w:t xml:space="preserve"> </w:t>
      </w:r>
      <w:r>
        <w:rPr>
          <w:rFonts w:ascii="黑体" w:hAnsi="微软雅黑" w:eastAsia="黑体" w:cs="宋体"/>
          <w:bCs/>
          <w:kern w:val="0"/>
          <w:sz w:val="32"/>
          <w:szCs w:val="32"/>
        </w:rPr>
        <w:t> </w:t>
      </w:r>
      <w:r>
        <w:rPr>
          <w:rFonts w:hint="eastAsia" w:ascii="黑体" w:hAnsi="黑体" w:eastAsia="黑体" w:cs="宋体"/>
          <w:bCs/>
          <w:kern w:val="0"/>
          <w:sz w:val="32"/>
          <w:szCs w:val="32"/>
        </w:rPr>
        <w:t>则</w:t>
      </w:r>
    </w:p>
    <w:p>
      <w:pPr>
        <w:widowControl/>
        <w:shd w:val="clear" w:color="auto" w:fill="FFFFFF"/>
        <w:spacing w:line="570" w:lineRule="exact"/>
        <w:ind w:firstLine="643" w:firstLineChars="200"/>
        <w:rPr>
          <w:rFonts w:ascii="微软雅黑" w:hAnsi="微软雅黑" w:eastAsia="微软雅黑" w:cs="宋体"/>
          <w:kern w:val="0"/>
          <w:sz w:val="32"/>
          <w:szCs w:val="32"/>
        </w:rPr>
      </w:pPr>
      <w:r>
        <w:rPr>
          <w:rFonts w:hint="eastAsia" w:ascii="仿宋_GB2312" w:hAnsi="微软雅黑" w:eastAsia="仿宋_GB2312" w:cs="宋体"/>
          <w:b/>
          <w:bCs/>
          <w:kern w:val="0"/>
          <w:sz w:val="32"/>
          <w:szCs w:val="32"/>
        </w:rPr>
        <w:t>第二十二条</w:t>
      </w:r>
      <w:r>
        <w:rPr>
          <w:rFonts w:ascii="仿宋_GB2312" w:hAnsi="微软雅黑" w:eastAsia="仿宋_GB2312" w:cs="宋体"/>
          <w:b/>
          <w:bCs/>
          <w:kern w:val="0"/>
          <w:sz w:val="32"/>
          <w:szCs w:val="32"/>
        </w:rPr>
        <w:t xml:space="preserve">  </w:t>
      </w:r>
      <w:r>
        <w:rPr>
          <w:rFonts w:hint="eastAsia" w:ascii="仿宋_GB2312" w:hAnsi="微软雅黑" w:eastAsia="仿宋_GB2312" w:cs="宋体"/>
          <w:bCs/>
          <w:kern w:val="0"/>
          <w:sz w:val="32"/>
          <w:szCs w:val="32"/>
        </w:rPr>
        <w:t>本规定自印发之日起执行。与此后上级印发的有关文件不一致的，按上级有关文件执行。</w:t>
      </w:r>
    </w:p>
    <w:p>
      <w:pPr>
        <w:widowControl/>
        <w:shd w:val="clear" w:color="auto" w:fill="FFFFFF"/>
        <w:spacing w:line="570" w:lineRule="exact"/>
        <w:ind w:firstLine="643" w:firstLineChars="200"/>
        <w:rPr>
          <w:rFonts w:ascii="微软雅黑" w:hAnsi="微软雅黑" w:eastAsia="仿宋_GB2312" w:cs="宋体"/>
          <w:color w:val="C0504D"/>
          <w:kern w:val="0"/>
          <w:sz w:val="32"/>
          <w:szCs w:val="32"/>
        </w:rPr>
      </w:pPr>
      <w:r>
        <w:rPr>
          <w:rFonts w:hint="eastAsia" w:ascii="仿宋_GB2312" w:hAnsi="宋体" w:eastAsia="仿宋_GB2312" w:cs="宋体"/>
          <w:b/>
          <w:bCs/>
          <w:kern w:val="0"/>
          <w:sz w:val="32"/>
          <w:szCs w:val="32"/>
        </w:rPr>
        <w:t>第二十三条</w:t>
      </w:r>
      <w:r>
        <w:rPr>
          <w:rFonts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本规定由学校财务部门负责解释。</w:t>
      </w:r>
    </w:p>
    <w:p>
      <w:pPr>
        <w:widowControl/>
        <w:shd w:val="clear" w:color="auto" w:fill="FFFFFF"/>
        <w:spacing w:line="570" w:lineRule="exact"/>
        <w:ind w:firstLine="619"/>
        <w:rPr>
          <w:rFonts w:ascii="微软雅黑" w:hAnsi="微软雅黑" w:eastAsia="微软雅黑" w:cs="宋体"/>
          <w:kern w:val="0"/>
          <w:sz w:val="32"/>
          <w:szCs w:val="32"/>
        </w:rPr>
      </w:pPr>
    </w:p>
    <w:p>
      <w:pPr>
        <w:widowControl/>
        <w:shd w:val="clear" w:color="auto" w:fill="FFFFFF"/>
        <w:spacing w:line="570" w:lineRule="exact"/>
        <w:ind w:firstLine="619"/>
        <w:rPr>
          <w:rFonts w:ascii="微软雅黑" w:hAnsi="微软雅黑" w:eastAsia="微软雅黑" w:cs="宋体"/>
          <w:kern w:val="0"/>
          <w:sz w:val="32"/>
          <w:szCs w:val="32"/>
        </w:rPr>
      </w:pPr>
      <w:r>
        <w:rPr>
          <w:rFonts w:hint="eastAsia" w:ascii="仿宋_GB2312" w:hAnsi="微软雅黑" w:eastAsia="仿宋_GB2312" w:cs="宋体"/>
          <w:kern w:val="0"/>
          <w:sz w:val="32"/>
          <w:szCs w:val="32"/>
        </w:rPr>
        <w:t>附件：</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培训费预算单</w:t>
      </w:r>
    </w:p>
    <w:p>
      <w:pPr>
        <w:widowControl/>
        <w:shd w:val="clear" w:color="auto" w:fill="FFFFFF"/>
        <w:spacing w:line="570" w:lineRule="exact"/>
        <w:ind w:firstLine="1600" w:firstLineChars="500"/>
        <w:rPr>
          <w:rFonts w:ascii="微软雅黑" w:hAnsi="微软雅黑" w:eastAsia="微软雅黑"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培训费结算单</w:t>
      </w:r>
    </w:p>
    <w:p>
      <w:pPr>
        <w:widowControl/>
        <w:spacing w:line="540" w:lineRule="exact"/>
        <w:jc w:val="left"/>
        <w:rPr>
          <w:rFonts w:ascii="黑体" w:hAnsi="黑体" w:eastAsia="黑体" w:cs="宋体"/>
          <w:kern w:val="0"/>
          <w:sz w:val="32"/>
          <w:szCs w:val="32"/>
        </w:rPr>
        <w:sectPr>
          <w:footerReference r:id="rId3" w:type="default"/>
          <w:footerReference r:id="rId4" w:type="even"/>
          <w:pgSz w:w="11906" w:h="16838"/>
          <w:pgMar w:top="2098" w:right="1474" w:bottom="1985" w:left="1588" w:header="851" w:footer="1418" w:gutter="0"/>
          <w:pgNumType w:fmt="numberInDash"/>
          <w:cols w:space="425" w:num="1"/>
          <w:docGrid w:type="lines" w:linePitch="312" w:charSpace="0"/>
        </w:sectPr>
      </w:pPr>
    </w:p>
    <w:p>
      <w:pPr>
        <w:widowControl/>
        <w:spacing w:line="540" w:lineRule="exact"/>
        <w:jc w:val="left"/>
        <w:rPr>
          <w:rFonts w:ascii="微软雅黑" w:hAnsi="微软雅黑" w:eastAsia="微软雅黑"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1</w:t>
      </w:r>
    </w:p>
    <w:p>
      <w:pPr>
        <w:widowControl/>
        <w:shd w:val="clear" w:color="auto" w:fill="FFFFFF"/>
        <w:spacing w:line="540" w:lineRule="exact"/>
        <w:jc w:val="center"/>
        <w:rPr>
          <w:rFonts w:ascii="方正小标宋简体" w:eastAsia="方正小标宋简体" w:cs="宋体"/>
          <w:bCs/>
          <w:kern w:val="0"/>
          <w:sz w:val="44"/>
          <w:szCs w:val="44"/>
        </w:rPr>
      </w:pPr>
      <w:r>
        <w:rPr>
          <w:rFonts w:hint="eastAsia" w:ascii="方正小标宋简体" w:hAnsi="宋体" w:eastAsia="方正小标宋简体" w:cs="宋体"/>
          <w:bCs/>
          <w:kern w:val="0"/>
          <w:sz w:val="44"/>
          <w:szCs w:val="44"/>
        </w:rPr>
        <w:t>培训费预算单</w:t>
      </w:r>
    </w:p>
    <w:tbl>
      <w:tblPr>
        <w:tblStyle w:val="8"/>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38" w:type="dxa"/>
            <w:shd w:val="clear" w:color="auto" w:fill="FFFFFF"/>
            <w:tcMar>
              <w:top w:w="107" w:type="dxa"/>
              <w:left w:w="215" w:type="dxa"/>
              <w:bottom w:w="107" w:type="dxa"/>
              <w:right w:w="215" w:type="dxa"/>
            </w:tcMar>
            <w:vAlign w:val="center"/>
          </w:tcPr>
          <w:p>
            <w:pPr>
              <w:widowControl/>
              <w:spacing w:line="500" w:lineRule="exact"/>
              <w:jc w:val="left"/>
              <w:rPr>
                <w:rFonts w:ascii="微软雅黑" w:hAnsi="微软雅黑" w:eastAsia="微软雅黑" w:cs="宋体"/>
                <w:kern w:val="0"/>
                <w:sz w:val="32"/>
                <w:szCs w:val="32"/>
              </w:rPr>
            </w:pPr>
            <w:r>
              <w:rPr>
                <w:rFonts w:hint="eastAsia" w:ascii="仿宋_GB2312" w:hAnsi="微软雅黑" w:eastAsia="仿宋_GB2312" w:cs="宋体"/>
                <w:kern w:val="0"/>
                <w:sz w:val="32"/>
                <w:szCs w:val="32"/>
              </w:rPr>
              <w:t>培训项目名称及类别：</w:t>
            </w:r>
            <w:r>
              <w:rPr>
                <w:rFonts w:ascii="仿宋_GB2312" w:hAnsi="微软雅黑" w:eastAsia="仿宋_GB2312" w:cs="宋体"/>
                <w:kern w:val="0"/>
                <w:sz w:val="32"/>
                <w:szCs w:val="32"/>
              </w:rPr>
              <w:t xml:space="preserve">                          (   </w:t>
            </w:r>
            <w:r>
              <w:rPr>
                <w:rFonts w:hint="eastAsia" w:ascii="仿宋_GB2312" w:hAnsi="微软雅黑" w:eastAsia="仿宋_GB2312" w:cs="宋体"/>
                <w:kern w:val="0"/>
                <w:sz w:val="28"/>
                <w:szCs w:val="28"/>
              </w:rPr>
              <w:t>类培训</w:t>
            </w:r>
            <w:r>
              <w:rPr>
                <w:rFonts w:hint="eastAsia" w:ascii="仿宋_GB2312" w:hAnsi="微软雅黑" w:eastAsia="仿宋_GB2312" w:cs="宋体"/>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blCellSpacing w:w="0" w:type="dxa"/>
          <w:jc w:val="center"/>
        </w:trPr>
        <w:tc>
          <w:tcPr>
            <w:tcW w:w="9638" w:type="dxa"/>
            <w:shd w:val="clear" w:color="auto" w:fill="FFFFFF"/>
            <w:tcMar>
              <w:top w:w="107" w:type="dxa"/>
              <w:left w:w="215" w:type="dxa"/>
              <w:bottom w:w="107" w:type="dxa"/>
              <w:right w:w="215" w:type="dxa"/>
            </w:tcMar>
            <w:vAlign w:val="center"/>
          </w:tcPr>
          <w:p>
            <w:pPr>
              <w:widowControl/>
              <w:spacing w:line="500" w:lineRule="exact"/>
              <w:rPr>
                <w:rFonts w:ascii="微软雅黑" w:hAnsi="微软雅黑" w:eastAsia="微软雅黑" w:cs="宋体"/>
                <w:kern w:val="0"/>
                <w:sz w:val="32"/>
                <w:szCs w:val="32"/>
              </w:rPr>
            </w:pPr>
            <w:r>
              <w:rPr>
                <w:rFonts w:hint="eastAsia" w:ascii="仿宋_GB2312" w:hAnsi="微软雅黑" w:eastAsia="仿宋_GB2312" w:cs="宋体"/>
                <w:kern w:val="0"/>
                <w:sz w:val="32"/>
                <w:szCs w:val="32"/>
              </w:rPr>
              <w:t>培训时间：</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日至</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38" w:type="dxa"/>
            <w:shd w:val="clear" w:color="auto" w:fill="FFFFFF"/>
            <w:tcMar>
              <w:top w:w="107" w:type="dxa"/>
              <w:left w:w="215" w:type="dxa"/>
              <w:bottom w:w="107" w:type="dxa"/>
              <w:right w:w="215" w:type="dxa"/>
            </w:tcMar>
            <w:vAlign w:val="center"/>
          </w:tcPr>
          <w:p>
            <w:pPr>
              <w:widowControl/>
              <w:spacing w:line="500" w:lineRule="exact"/>
              <w:rPr>
                <w:rFonts w:ascii="微软雅黑" w:hAnsi="微软雅黑" w:eastAsia="微软雅黑" w:cs="宋体"/>
                <w:kern w:val="0"/>
                <w:sz w:val="32"/>
                <w:szCs w:val="32"/>
              </w:rPr>
            </w:pPr>
            <w:r>
              <w:rPr>
                <w:rFonts w:hint="eastAsia" w:ascii="仿宋_GB2312" w:hAnsi="微软雅黑" w:eastAsia="仿宋_GB2312" w:cs="宋体"/>
                <w:kern w:val="0"/>
                <w:sz w:val="32"/>
                <w:szCs w:val="32"/>
              </w:rPr>
              <w:t>培训天数（含报到和离开时间）：</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tblCellSpacing w:w="0" w:type="dxa"/>
          <w:jc w:val="center"/>
        </w:trPr>
        <w:tc>
          <w:tcPr>
            <w:tcW w:w="9638" w:type="dxa"/>
            <w:shd w:val="clear" w:color="auto" w:fill="FFFFFF"/>
            <w:tcMar>
              <w:top w:w="107" w:type="dxa"/>
              <w:left w:w="215" w:type="dxa"/>
              <w:bottom w:w="107" w:type="dxa"/>
              <w:right w:w="215" w:type="dxa"/>
            </w:tcMar>
            <w:vAlign w:val="center"/>
          </w:tcPr>
          <w:p>
            <w:pPr>
              <w:widowControl/>
              <w:spacing w:line="500" w:lineRule="exact"/>
              <w:rPr>
                <w:rFonts w:ascii="微软雅黑" w:hAnsi="微软雅黑" w:eastAsia="微软雅黑" w:cs="宋体"/>
                <w:kern w:val="0"/>
                <w:sz w:val="32"/>
                <w:szCs w:val="32"/>
              </w:rPr>
            </w:pPr>
            <w:r>
              <w:rPr>
                <w:rFonts w:hint="eastAsia" w:ascii="仿宋_GB2312" w:hAnsi="微软雅黑" w:eastAsia="仿宋_GB2312" w:cs="宋体"/>
                <w:kern w:val="0"/>
                <w:sz w:val="32"/>
                <w:szCs w:val="32"/>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jc w:val="center"/>
        </w:trPr>
        <w:tc>
          <w:tcPr>
            <w:tcW w:w="9638" w:type="dxa"/>
            <w:shd w:val="clear" w:color="auto" w:fill="FFFFFF"/>
            <w:tcMar>
              <w:top w:w="107" w:type="dxa"/>
              <w:left w:w="215" w:type="dxa"/>
              <w:bottom w:w="107" w:type="dxa"/>
              <w:right w:w="215" w:type="dxa"/>
            </w:tcMar>
            <w:vAlign w:val="center"/>
          </w:tcPr>
          <w:p>
            <w:pPr>
              <w:widowControl/>
              <w:spacing w:line="500" w:lineRule="exact"/>
              <w:rPr>
                <w:rFonts w:ascii="微软雅黑" w:hAnsi="微软雅黑" w:eastAsia="微软雅黑" w:cs="宋体"/>
                <w:kern w:val="0"/>
                <w:sz w:val="32"/>
                <w:szCs w:val="32"/>
              </w:rPr>
            </w:pPr>
            <w:r>
              <w:rPr>
                <w:rFonts w:hint="eastAsia" w:ascii="仿宋_GB2312" w:hAnsi="微软雅黑" w:eastAsia="仿宋_GB2312" w:cs="宋体"/>
                <w:kern w:val="0"/>
                <w:sz w:val="32"/>
                <w:szCs w:val="32"/>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blCellSpacing w:w="0" w:type="dxa"/>
          <w:jc w:val="center"/>
        </w:trPr>
        <w:tc>
          <w:tcPr>
            <w:tcW w:w="9638" w:type="dxa"/>
            <w:shd w:val="clear" w:color="auto" w:fill="FFFFFF"/>
            <w:tcMar>
              <w:top w:w="107" w:type="dxa"/>
              <w:left w:w="215" w:type="dxa"/>
              <w:bottom w:w="107" w:type="dxa"/>
              <w:right w:w="215" w:type="dxa"/>
            </w:tcMar>
            <w:vAlign w:val="center"/>
          </w:tcPr>
          <w:p>
            <w:pPr>
              <w:widowControl/>
              <w:spacing w:line="5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总人数：</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人</w:t>
            </w:r>
          </w:p>
          <w:p>
            <w:pPr>
              <w:widowControl/>
              <w:spacing w:line="500" w:lineRule="exact"/>
              <w:ind w:firstLine="320" w:firstLineChars="100"/>
              <w:rPr>
                <w:rFonts w:ascii="微软雅黑" w:hAnsi="微软雅黑" w:eastAsia="微软雅黑" w:cs="宋体"/>
                <w:kern w:val="0"/>
                <w:sz w:val="32"/>
                <w:szCs w:val="32"/>
              </w:rPr>
            </w:pPr>
            <w:r>
              <w:rPr>
                <w:rFonts w:hint="eastAsia" w:ascii="仿宋_GB2312" w:hAnsi="微软雅黑" w:eastAsia="仿宋_GB2312" w:cs="宋体"/>
                <w:kern w:val="0"/>
                <w:sz w:val="32"/>
                <w:szCs w:val="32"/>
              </w:rPr>
              <w:t>其中：参训人员</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人、工作人员</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38" w:type="dxa"/>
            <w:shd w:val="clear" w:color="auto" w:fill="FFFFFF"/>
            <w:tcMar>
              <w:top w:w="107" w:type="dxa"/>
              <w:left w:w="215" w:type="dxa"/>
              <w:bottom w:w="107" w:type="dxa"/>
              <w:right w:w="215" w:type="dxa"/>
            </w:tcMar>
            <w:vAlign w:val="center"/>
          </w:tcPr>
          <w:p>
            <w:pPr>
              <w:widowControl/>
              <w:spacing w:line="500" w:lineRule="exact"/>
              <w:rPr>
                <w:rFonts w:ascii="微软雅黑" w:hAnsi="微软雅黑" w:eastAsia="微软雅黑" w:cs="宋体"/>
                <w:kern w:val="0"/>
                <w:sz w:val="32"/>
                <w:szCs w:val="32"/>
              </w:rPr>
            </w:pPr>
            <w:r>
              <w:rPr>
                <w:rFonts w:hint="eastAsia" w:ascii="仿宋_GB2312" w:hAnsi="微软雅黑" w:eastAsia="仿宋_GB2312" w:cs="宋体"/>
                <w:kern w:val="0"/>
                <w:sz w:val="32"/>
                <w:szCs w:val="32"/>
              </w:rPr>
              <w:t>培训费预算：</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38" w:type="dxa"/>
            <w:shd w:val="clear" w:color="auto" w:fill="FFFFFF"/>
            <w:tcMar>
              <w:top w:w="107" w:type="dxa"/>
              <w:left w:w="215" w:type="dxa"/>
              <w:bottom w:w="107" w:type="dxa"/>
              <w:right w:w="215" w:type="dxa"/>
            </w:tcMar>
            <w:vAlign w:val="center"/>
          </w:tcPr>
          <w:p>
            <w:pPr>
              <w:widowControl/>
              <w:spacing w:line="500" w:lineRule="exact"/>
              <w:ind w:firstLine="320" w:firstLineChars="100"/>
              <w:rPr>
                <w:rFonts w:ascii="微软雅黑" w:hAnsi="微软雅黑" w:eastAsia="微软雅黑" w:cs="宋体"/>
                <w:kern w:val="0"/>
                <w:sz w:val="32"/>
                <w:szCs w:val="32"/>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综合定额内</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38" w:type="dxa"/>
            <w:shd w:val="clear" w:color="auto" w:fill="FFFFFF"/>
            <w:tcMar>
              <w:top w:w="107" w:type="dxa"/>
              <w:left w:w="215" w:type="dxa"/>
              <w:bottom w:w="107" w:type="dxa"/>
              <w:right w:w="215" w:type="dxa"/>
            </w:tcMar>
            <w:vAlign w:val="center"/>
          </w:tcPr>
          <w:p>
            <w:pPr>
              <w:widowControl/>
              <w:spacing w:line="500" w:lineRule="exact"/>
              <w:ind w:firstLine="960" w:firstLineChars="3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住宿费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伙食费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38" w:type="dxa"/>
            <w:shd w:val="clear" w:color="auto" w:fill="FFFFFF"/>
            <w:tcMar>
              <w:top w:w="107" w:type="dxa"/>
              <w:left w:w="215" w:type="dxa"/>
              <w:bottom w:w="107" w:type="dxa"/>
              <w:right w:w="215" w:type="dxa"/>
            </w:tcMar>
            <w:vAlign w:val="center"/>
          </w:tcPr>
          <w:p>
            <w:pPr>
              <w:widowControl/>
              <w:spacing w:line="500" w:lineRule="exact"/>
              <w:ind w:firstLine="960" w:firstLineChars="3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培训场地租金</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交通费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38" w:type="dxa"/>
            <w:shd w:val="clear" w:color="auto" w:fill="FFFFFF"/>
            <w:tcMar>
              <w:top w:w="107" w:type="dxa"/>
              <w:left w:w="215" w:type="dxa"/>
              <w:bottom w:w="107" w:type="dxa"/>
              <w:right w:w="215" w:type="dxa"/>
            </w:tcMar>
            <w:vAlign w:val="center"/>
          </w:tcPr>
          <w:p>
            <w:pPr>
              <w:widowControl/>
              <w:spacing w:line="500" w:lineRule="exact"/>
              <w:ind w:firstLine="960" w:firstLineChars="3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印刷费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其他</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blCellSpacing w:w="0" w:type="dxa"/>
          <w:jc w:val="center"/>
        </w:trPr>
        <w:tc>
          <w:tcPr>
            <w:tcW w:w="9638" w:type="dxa"/>
            <w:shd w:val="clear" w:color="auto" w:fill="FFFFFF"/>
            <w:tcMar>
              <w:top w:w="107" w:type="dxa"/>
              <w:left w:w="215" w:type="dxa"/>
              <w:bottom w:w="107" w:type="dxa"/>
              <w:right w:w="215" w:type="dxa"/>
            </w:tcMar>
            <w:vAlign w:val="center"/>
          </w:tcPr>
          <w:p>
            <w:pPr>
              <w:widowControl/>
              <w:numPr>
                <w:ilvl w:val="255"/>
                <w:numId w:val="0"/>
              </w:numPr>
              <w:spacing w:line="500" w:lineRule="exact"/>
              <w:ind w:firstLine="320" w:firstLineChars="100"/>
              <w:rPr>
                <w:rFonts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师资费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元，（讲课费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住宿费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元，城市间交通费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伙食费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38" w:type="dxa"/>
            <w:shd w:val="clear" w:color="auto" w:fill="FFFFFF"/>
            <w:tcMar>
              <w:top w:w="107" w:type="dxa"/>
              <w:left w:w="215" w:type="dxa"/>
              <w:bottom w:w="107" w:type="dxa"/>
              <w:right w:w="215" w:type="dxa"/>
            </w:tcMar>
          </w:tcPr>
          <w:p>
            <w:pPr>
              <w:widowControl/>
              <w:numPr>
                <w:ilvl w:val="255"/>
                <w:numId w:val="0"/>
              </w:numPr>
              <w:spacing w:line="500" w:lineRule="exact"/>
              <w:rPr>
                <w:rFonts w:ascii="仿宋_GB2312" w:hAnsi="微软雅黑"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tblCellSpacing w:w="0" w:type="dxa"/>
          <w:jc w:val="center"/>
        </w:trPr>
        <w:tc>
          <w:tcPr>
            <w:tcW w:w="9638" w:type="dxa"/>
            <w:shd w:val="clear" w:color="auto" w:fill="FFFFFF"/>
            <w:tcMar>
              <w:top w:w="107" w:type="dxa"/>
              <w:left w:w="215" w:type="dxa"/>
              <w:bottom w:w="107" w:type="dxa"/>
              <w:right w:w="215" w:type="dxa"/>
            </w:tcMar>
          </w:tcPr>
          <w:p>
            <w:pPr>
              <w:widowControl/>
              <w:numPr>
                <w:ilvl w:val="255"/>
                <w:numId w:val="0"/>
              </w:numPr>
              <w:spacing w:line="500" w:lineRule="exact"/>
              <w:rPr>
                <w:rFonts w:ascii="仿宋_GB2312" w:hAnsi="微软雅黑" w:eastAsia="仿宋_GB2312" w:cs="宋体"/>
                <w:kern w:val="0"/>
                <w:sz w:val="28"/>
                <w:szCs w:val="28"/>
              </w:rPr>
            </w:pPr>
            <w:r>
              <w:rPr>
                <w:rFonts w:hint="eastAsia" w:ascii="仿宋_GB2312" w:hAnsi="微软雅黑" w:eastAsia="仿宋_GB2312" w:cs="宋体"/>
                <w:kern w:val="0"/>
                <w:sz w:val="28"/>
                <w:szCs w:val="28"/>
              </w:rPr>
              <w:t>备注：</w:t>
            </w:r>
          </w:p>
        </w:tc>
      </w:tr>
    </w:tbl>
    <w:p>
      <w:pPr>
        <w:widowControl/>
        <w:shd w:val="clear" w:color="auto" w:fill="FFFFFF"/>
        <w:spacing w:line="57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校主要领导：</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分管校领导：</w:t>
      </w:r>
    </w:p>
    <w:p>
      <w:pPr>
        <w:widowControl/>
        <w:shd w:val="clear" w:color="auto" w:fill="FFFFFF"/>
        <w:spacing w:line="570" w:lineRule="exact"/>
        <w:jc w:val="left"/>
        <w:rPr>
          <w:rFonts w:ascii="微软雅黑" w:hAnsi="微软雅黑" w:eastAsia="微软雅黑" w:cs="宋体"/>
          <w:kern w:val="0"/>
          <w:sz w:val="36"/>
          <w:szCs w:val="36"/>
        </w:rPr>
      </w:pPr>
      <w:r>
        <w:rPr>
          <w:rFonts w:hint="eastAsia" w:ascii="仿宋_GB2312" w:hAnsi="微软雅黑" w:eastAsia="仿宋_GB2312" w:cs="宋体"/>
          <w:kern w:val="0"/>
          <w:sz w:val="32"/>
          <w:szCs w:val="32"/>
        </w:rPr>
        <w:t>财务审核：</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部门负责人</w:t>
      </w:r>
      <w:r>
        <w:rPr>
          <w:rFonts w:ascii="仿宋_GB2312" w:hAnsi="微软雅黑" w:eastAsia="仿宋_GB2312" w:cs="宋体"/>
          <w:kern w:val="0"/>
          <w:sz w:val="32"/>
          <w:szCs w:val="32"/>
        </w:rPr>
        <w:t> </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经办人：</w:t>
      </w:r>
    </w:p>
    <w:p>
      <w:pPr>
        <w:widowControl/>
        <w:shd w:val="clear" w:color="auto" w:fill="FFFFFF"/>
        <w:spacing w:line="480" w:lineRule="exact"/>
        <w:rPr>
          <w:rFonts w:ascii="微软雅黑" w:hAnsi="微软雅黑" w:eastAsia="微软雅黑"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2</w:t>
      </w:r>
    </w:p>
    <w:p>
      <w:pPr>
        <w:widowControl/>
        <w:shd w:val="clear" w:color="auto" w:fill="FFFFFF"/>
        <w:spacing w:line="480" w:lineRule="exact"/>
        <w:jc w:val="center"/>
        <w:rPr>
          <w:rFonts w:ascii="方正小标宋简体" w:eastAsia="方正小标宋简体" w:cs="宋体"/>
          <w:bCs/>
          <w:kern w:val="0"/>
          <w:sz w:val="44"/>
          <w:szCs w:val="44"/>
        </w:rPr>
      </w:pPr>
      <w:r>
        <w:rPr>
          <w:rFonts w:hint="eastAsia" w:ascii="方正小标宋简体" w:hAnsi="宋体" w:eastAsia="方正小标宋简体" w:cs="宋体"/>
          <w:bCs/>
          <w:kern w:val="0"/>
          <w:sz w:val="44"/>
          <w:szCs w:val="44"/>
        </w:rPr>
        <w:t>培训费结算单</w:t>
      </w:r>
    </w:p>
    <w:tbl>
      <w:tblPr>
        <w:tblStyle w:val="8"/>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jc w:val="left"/>
              <w:rPr>
                <w:rFonts w:ascii="微软雅黑" w:hAnsi="微软雅黑" w:eastAsia="微软雅黑" w:cs="宋体"/>
                <w:kern w:val="0"/>
                <w:sz w:val="32"/>
                <w:szCs w:val="32"/>
              </w:rPr>
            </w:pPr>
            <w:r>
              <w:rPr>
                <w:rFonts w:hint="eastAsia" w:ascii="仿宋_GB2312" w:hAnsi="微软雅黑" w:eastAsia="仿宋_GB2312" w:cs="宋体"/>
                <w:kern w:val="0"/>
                <w:sz w:val="32"/>
                <w:szCs w:val="32"/>
              </w:rPr>
              <w:t>培训项目名称及类别：</w:t>
            </w:r>
            <w:r>
              <w:rPr>
                <w:rFonts w:ascii="仿宋_GB2312" w:hAnsi="微软雅黑" w:eastAsia="仿宋_GB2312" w:cs="宋体"/>
                <w:kern w:val="0"/>
                <w:sz w:val="32"/>
                <w:szCs w:val="32"/>
              </w:rPr>
              <w:t xml:space="preserve">                          (   </w:t>
            </w:r>
            <w:r>
              <w:rPr>
                <w:rFonts w:hint="eastAsia" w:ascii="仿宋_GB2312" w:hAnsi="微软雅黑" w:eastAsia="仿宋_GB2312" w:cs="宋体"/>
                <w:kern w:val="0"/>
                <w:sz w:val="28"/>
                <w:szCs w:val="28"/>
              </w:rPr>
              <w:t>类培训</w:t>
            </w:r>
            <w:r>
              <w:rPr>
                <w:rFonts w:hint="eastAsia" w:ascii="仿宋_GB2312" w:hAnsi="微软雅黑" w:eastAsia="仿宋_GB2312" w:cs="宋体"/>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rPr>
                <w:rFonts w:ascii="微软雅黑" w:hAnsi="微软雅黑" w:eastAsia="微软雅黑" w:cs="宋体"/>
                <w:kern w:val="0"/>
                <w:sz w:val="32"/>
                <w:szCs w:val="32"/>
              </w:rPr>
            </w:pPr>
            <w:r>
              <w:rPr>
                <w:rFonts w:hint="eastAsia" w:ascii="仿宋_GB2312" w:hAnsi="微软雅黑" w:eastAsia="仿宋_GB2312" w:cs="宋体"/>
                <w:kern w:val="0"/>
                <w:sz w:val="32"/>
                <w:szCs w:val="32"/>
              </w:rPr>
              <w:t>培训时间：</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日至</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rPr>
                <w:rFonts w:ascii="微软雅黑" w:hAnsi="微软雅黑" w:eastAsia="微软雅黑" w:cs="宋体"/>
                <w:kern w:val="0"/>
                <w:sz w:val="32"/>
                <w:szCs w:val="32"/>
              </w:rPr>
            </w:pPr>
            <w:r>
              <w:rPr>
                <w:rFonts w:hint="eastAsia" w:ascii="仿宋_GB2312" w:hAnsi="微软雅黑" w:eastAsia="仿宋_GB2312" w:cs="宋体"/>
                <w:kern w:val="0"/>
                <w:sz w:val="32"/>
                <w:szCs w:val="32"/>
              </w:rPr>
              <w:t>培训天数（含报到和离开时间）：</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rPr>
                <w:rFonts w:ascii="微软雅黑" w:hAnsi="微软雅黑" w:eastAsia="微软雅黑" w:cs="宋体"/>
                <w:kern w:val="0"/>
                <w:sz w:val="32"/>
                <w:szCs w:val="32"/>
              </w:rPr>
            </w:pPr>
            <w:r>
              <w:rPr>
                <w:rFonts w:hint="eastAsia" w:ascii="仿宋_GB2312" w:hAnsi="微软雅黑" w:eastAsia="仿宋_GB2312" w:cs="宋体"/>
                <w:kern w:val="0"/>
                <w:sz w:val="32"/>
                <w:szCs w:val="32"/>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rPr>
                <w:rFonts w:ascii="微软雅黑" w:hAnsi="微软雅黑" w:eastAsia="微软雅黑" w:cs="宋体"/>
                <w:kern w:val="0"/>
                <w:sz w:val="32"/>
                <w:szCs w:val="32"/>
              </w:rPr>
            </w:pPr>
            <w:r>
              <w:rPr>
                <w:rFonts w:hint="eastAsia" w:ascii="仿宋_GB2312" w:hAnsi="微软雅黑" w:eastAsia="仿宋_GB2312" w:cs="宋体"/>
                <w:kern w:val="0"/>
                <w:sz w:val="32"/>
                <w:szCs w:val="32"/>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总人数：</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人</w:t>
            </w:r>
          </w:p>
          <w:p>
            <w:pPr>
              <w:widowControl/>
              <w:spacing w:line="460" w:lineRule="exact"/>
              <w:ind w:firstLine="320" w:firstLineChars="100"/>
              <w:rPr>
                <w:rFonts w:ascii="微软雅黑" w:hAnsi="微软雅黑" w:eastAsia="微软雅黑" w:cs="宋体"/>
                <w:kern w:val="0"/>
                <w:sz w:val="32"/>
                <w:szCs w:val="32"/>
              </w:rPr>
            </w:pPr>
            <w:r>
              <w:rPr>
                <w:rFonts w:hint="eastAsia" w:ascii="仿宋_GB2312" w:hAnsi="微软雅黑" w:eastAsia="仿宋_GB2312" w:cs="宋体"/>
                <w:kern w:val="0"/>
                <w:sz w:val="32"/>
                <w:szCs w:val="32"/>
              </w:rPr>
              <w:t>其中：参训人员</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人、工作人员</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rPr>
                <w:rFonts w:ascii="微软雅黑" w:hAnsi="微软雅黑" w:eastAsia="仿宋_GB2312" w:cs="宋体"/>
                <w:kern w:val="0"/>
                <w:sz w:val="32"/>
                <w:szCs w:val="32"/>
              </w:rPr>
            </w:pPr>
            <w:r>
              <w:rPr>
                <w:rFonts w:hint="eastAsia" w:ascii="仿宋_GB2312" w:hAnsi="微软雅黑" w:eastAsia="仿宋_GB2312" w:cs="宋体"/>
                <w:kern w:val="0"/>
                <w:sz w:val="32"/>
                <w:szCs w:val="32"/>
              </w:rPr>
              <w:t>培训费预算：</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rPr>
                <w:rFonts w:ascii="微软雅黑" w:hAnsi="微软雅黑" w:eastAsia="微软雅黑" w:cs="宋体"/>
                <w:kern w:val="0"/>
                <w:sz w:val="32"/>
                <w:szCs w:val="32"/>
              </w:rPr>
            </w:pPr>
            <w:r>
              <w:rPr>
                <w:rFonts w:hint="eastAsia" w:ascii="仿宋_GB2312" w:hAnsi="微软雅黑" w:eastAsia="仿宋_GB2312" w:cs="宋体"/>
                <w:kern w:val="0"/>
                <w:sz w:val="32"/>
                <w:szCs w:val="32"/>
              </w:rPr>
              <w:t>实际开支</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ind w:firstLine="320" w:firstLineChars="100"/>
              <w:rPr>
                <w:rFonts w:ascii="仿宋_GB2312" w:hAnsi="微软雅黑" w:eastAsia="仿宋_GB2312" w:cs="宋体"/>
                <w:kern w:val="0"/>
                <w:sz w:val="32"/>
                <w:szCs w:val="32"/>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综合定额内</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ind w:firstLine="960" w:firstLineChars="300"/>
              <w:rPr>
                <w:rFonts w:ascii="微软雅黑" w:hAnsi="微软雅黑" w:eastAsia="微软雅黑" w:cs="宋体"/>
                <w:kern w:val="0"/>
                <w:sz w:val="32"/>
                <w:szCs w:val="32"/>
              </w:rPr>
            </w:pPr>
            <w:r>
              <w:rPr>
                <w:rFonts w:hint="eastAsia" w:ascii="仿宋_GB2312" w:hAnsi="微软雅黑" w:eastAsia="仿宋_GB2312" w:cs="宋体"/>
                <w:kern w:val="0"/>
                <w:sz w:val="32"/>
                <w:szCs w:val="32"/>
              </w:rPr>
              <w:t>住宿费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伙食费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ind w:firstLine="960" w:firstLineChars="300"/>
              <w:rPr>
                <w:rFonts w:ascii="微软雅黑" w:hAnsi="微软雅黑" w:eastAsia="微软雅黑" w:cs="宋体"/>
                <w:kern w:val="0"/>
                <w:sz w:val="32"/>
                <w:szCs w:val="32"/>
              </w:rPr>
            </w:pPr>
            <w:r>
              <w:rPr>
                <w:rFonts w:hint="eastAsia" w:ascii="仿宋_GB2312" w:hAnsi="微软雅黑" w:eastAsia="仿宋_GB2312" w:cs="宋体"/>
                <w:kern w:val="0"/>
                <w:sz w:val="32"/>
                <w:szCs w:val="32"/>
              </w:rPr>
              <w:t>培训场地租金</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交通费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ind w:firstLine="960" w:firstLineChars="300"/>
              <w:rPr>
                <w:rFonts w:ascii="微软雅黑" w:hAnsi="微软雅黑" w:eastAsia="微软雅黑" w:cs="宋体"/>
                <w:kern w:val="0"/>
                <w:sz w:val="32"/>
                <w:szCs w:val="32"/>
              </w:rPr>
            </w:pPr>
            <w:r>
              <w:rPr>
                <w:rFonts w:hint="eastAsia" w:ascii="仿宋_GB2312" w:hAnsi="微软雅黑" w:eastAsia="仿宋_GB2312" w:cs="宋体"/>
                <w:kern w:val="0"/>
                <w:sz w:val="32"/>
                <w:szCs w:val="32"/>
              </w:rPr>
              <w:t>印刷费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其他</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ind w:firstLine="320" w:firstLineChars="100"/>
              <w:rPr>
                <w:rFonts w:ascii="微软雅黑" w:hAnsi="微软雅黑" w:eastAsia="微软雅黑" w:cs="宋体"/>
                <w:kern w:val="0"/>
                <w:sz w:val="32"/>
                <w:szCs w:val="32"/>
              </w:rPr>
            </w:pPr>
            <w:r>
              <w:rPr>
                <w:rFonts w:ascii="仿宋_GB2312" w:hAnsi="微软雅黑" w:eastAsia="仿宋_GB2312" w:cs="宋体"/>
                <w:kern w:val="0"/>
                <w:sz w:val="32"/>
                <w:szCs w:val="32"/>
              </w:rPr>
              <w:t xml:space="preserve">2. </w:t>
            </w:r>
            <w:r>
              <w:rPr>
                <w:rFonts w:hint="eastAsia" w:ascii="仿宋_GB2312" w:hAnsi="微软雅黑" w:eastAsia="仿宋_GB2312" w:cs="宋体"/>
                <w:kern w:val="0"/>
                <w:sz w:val="32"/>
                <w:szCs w:val="32"/>
              </w:rPr>
              <w:t>师资费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元，其中：（讲课费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住宿费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元，城市间交通费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伙食费</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blCellSpacing w:w="0" w:type="dxa"/>
          <w:jc w:val="center"/>
        </w:trPr>
        <w:tc>
          <w:tcPr>
            <w:tcW w:w="9616" w:type="dxa"/>
            <w:shd w:val="clear" w:color="auto" w:fill="FFFFFF"/>
            <w:tcMar>
              <w:top w:w="107" w:type="dxa"/>
              <w:left w:w="215" w:type="dxa"/>
              <w:bottom w:w="107" w:type="dxa"/>
              <w:right w:w="215" w:type="dxa"/>
            </w:tcMar>
            <w:vAlign w:val="center"/>
          </w:tcPr>
          <w:p>
            <w:pPr>
              <w:widowControl/>
              <w:spacing w:line="460" w:lineRule="exact"/>
              <w:ind w:firstLine="1600" w:firstLineChars="500"/>
              <w:rPr>
                <w:rFonts w:ascii="微软雅黑" w:hAnsi="微软雅黑" w:eastAsia="微软雅黑"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blCellSpacing w:w="0" w:type="dxa"/>
          <w:jc w:val="center"/>
        </w:trPr>
        <w:tc>
          <w:tcPr>
            <w:tcW w:w="9616" w:type="dxa"/>
            <w:shd w:val="clear" w:color="auto" w:fill="FFFFFF"/>
            <w:tcMar>
              <w:top w:w="107" w:type="dxa"/>
              <w:left w:w="215" w:type="dxa"/>
              <w:bottom w:w="107" w:type="dxa"/>
              <w:right w:w="215" w:type="dxa"/>
            </w:tcMar>
          </w:tcPr>
          <w:p>
            <w:pPr>
              <w:widowControl/>
              <w:spacing w:line="460" w:lineRule="exact"/>
              <w:rPr>
                <w:rFonts w:ascii="微软雅黑" w:hAnsi="微软雅黑" w:eastAsia="微软雅黑" w:cs="宋体"/>
                <w:kern w:val="0"/>
                <w:sz w:val="32"/>
                <w:szCs w:val="32"/>
              </w:rPr>
            </w:pPr>
            <w:r>
              <w:rPr>
                <w:rFonts w:hint="eastAsia" w:ascii="仿宋_GB2312" w:hAnsi="微软雅黑" w:eastAsia="仿宋_GB2312" w:cs="宋体"/>
                <w:kern w:val="0"/>
                <w:sz w:val="28"/>
                <w:szCs w:val="28"/>
              </w:rPr>
              <w:t>备注：</w:t>
            </w:r>
          </w:p>
        </w:tc>
      </w:tr>
    </w:tbl>
    <w:p>
      <w:pPr>
        <w:widowControl/>
        <w:shd w:val="clear" w:color="auto" w:fill="FFFFFF"/>
        <w:spacing w:line="480" w:lineRule="exact"/>
        <w:ind w:firstLine="320" w:firstLineChars="1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分管校领导：</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财务审核：</w:t>
      </w:r>
      <w:r>
        <w:rPr>
          <w:rFonts w:ascii="仿宋_GB2312" w:hAnsi="微软雅黑" w:eastAsia="仿宋_GB2312" w:cs="宋体"/>
          <w:kern w:val="0"/>
          <w:sz w:val="32"/>
          <w:szCs w:val="32"/>
        </w:rPr>
        <w:t xml:space="preserve">         </w:t>
      </w:r>
    </w:p>
    <w:p>
      <w:pPr>
        <w:widowControl/>
        <w:shd w:val="clear" w:color="auto" w:fill="FFFFFF"/>
        <w:spacing w:line="480" w:lineRule="exact"/>
        <w:ind w:firstLine="320" w:firstLineChars="100"/>
        <w:rPr>
          <w:rFonts w:ascii="仿宋_GB2312" w:hAnsi="微软雅黑" w:eastAsia="仿宋_GB2312" w:cs="宋体"/>
          <w:kern w:val="0"/>
          <w:sz w:val="32"/>
          <w:szCs w:val="32"/>
        </w:rPr>
      </w:pPr>
      <w:r>
        <w:rPr>
          <w:rFonts w:hint="eastAsia" w:ascii="仿宋_GB2312" w:hAnsi="微软雅黑" w:eastAsia="仿宋_GB2312" w:cs="宋体"/>
          <w:kern w:val="0"/>
          <w:sz w:val="32"/>
          <w:szCs w:val="32"/>
        </w:rPr>
        <w:t>部门负责人</w:t>
      </w:r>
      <w:r>
        <w:rPr>
          <w:rFonts w:ascii="仿宋_GB2312" w:hAnsi="微软雅黑" w:eastAsia="仿宋_GB2312" w:cs="宋体"/>
          <w:kern w:val="0"/>
          <w:sz w:val="32"/>
          <w:szCs w:val="32"/>
        </w:rPr>
        <w:t> </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经办人：</w:t>
      </w:r>
    </w:p>
    <w:p>
      <w:pPr>
        <w:widowControl/>
        <w:shd w:val="clear" w:color="auto" w:fill="FFFFFF"/>
        <w:spacing w:line="580" w:lineRule="exact"/>
        <w:rPr>
          <w:rFonts w:ascii="仿宋_GB2312" w:hAnsi="微软雅黑" w:eastAsia="仿宋_GB2312" w:cs="宋体"/>
          <w:kern w:val="0"/>
          <w:sz w:val="32"/>
          <w:szCs w:val="32"/>
        </w:rPr>
      </w:pPr>
    </w:p>
    <w:p>
      <w:pPr>
        <w:widowControl/>
        <w:shd w:val="clear" w:color="auto" w:fill="FFFFFF"/>
        <w:spacing w:line="580" w:lineRule="exact"/>
        <w:rPr>
          <w:rFonts w:ascii="仿宋_GB2312" w:hAnsi="微软雅黑" w:eastAsia="仿宋_GB2312" w:cs="宋体"/>
          <w:kern w:val="0"/>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shd w:val="clear" w:color="auto" w:fill="FFFFFF"/>
        <w:spacing w:line="580" w:lineRule="exact"/>
        <w:rPr>
          <w:sz w:val="32"/>
          <w:szCs w:val="32"/>
        </w:rPr>
      </w:pPr>
    </w:p>
    <w:p>
      <w:pPr>
        <w:widowControl/>
        <w:pBdr>
          <w:top w:val="single" w:color="auto" w:sz="12" w:space="1"/>
          <w:bottom w:val="single" w:color="auto" w:sz="12" w:space="1"/>
        </w:pBdr>
        <w:shd w:val="clear" w:color="auto" w:fill="FFFFFF"/>
        <w:spacing w:line="480" w:lineRule="exact"/>
        <w:ind w:firstLine="280" w:firstLineChars="100"/>
        <w:rPr>
          <w:rFonts w:ascii="仿宋_GB2312" w:eastAsia="仿宋_GB2312"/>
          <w:sz w:val="28"/>
          <w:szCs w:val="28"/>
        </w:rPr>
      </w:pPr>
      <w:r>
        <w:rPr>
          <w:rFonts w:hint="eastAsia" w:ascii="仿宋_GB2312" w:eastAsia="仿宋_GB2312"/>
          <w:sz w:val="28"/>
          <w:szCs w:val="28"/>
        </w:rPr>
        <w:t>福建幼儿师范高等专科学校党政办公室</w:t>
      </w:r>
      <w:r>
        <w:rPr>
          <w:rFonts w:ascii="仿宋_GB2312" w:eastAsia="仿宋_GB2312"/>
          <w:sz w:val="28"/>
          <w:szCs w:val="28"/>
        </w:rPr>
        <w:t xml:space="preserve">   2023</w:t>
      </w:r>
      <w:r>
        <w:rPr>
          <w:rFonts w:hint="eastAsia" w:ascii="仿宋_GB2312" w:eastAsia="仿宋_GB2312"/>
          <w:sz w:val="28"/>
          <w:szCs w:val="28"/>
        </w:rPr>
        <w:t>年</w:t>
      </w:r>
      <w:r>
        <w:rPr>
          <w:rFonts w:ascii="仿宋_GB2312" w:eastAsia="仿宋_GB2312"/>
          <w:sz w:val="28"/>
          <w:szCs w:val="28"/>
        </w:rPr>
        <w:t>11</w:t>
      </w:r>
      <w:r>
        <w:rPr>
          <w:rFonts w:hint="eastAsia" w:ascii="仿宋_GB2312" w:eastAsia="仿宋_GB2312"/>
          <w:sz w:val="28"/>
          <w:szCs w:val="28"/>
        </w:rPr>
        <w:t>月</w:t>
      </w:r>
      <w:r>
        <w:rPr>
          <w:rFonts w:ascii="仿宋_GB2312" w:eastAsia="仿宋_GB2312"/>
          <w:sz w:val="28"/>
          <w:szCs w:val="28"/>
        </w:rPr>
        <w:t>29</w:t>
      </w:r>
      <w:r>
        <w:rPr>
          <w:rFonts w:hint="eastAsia" w:ascii="仿宋_GB2312" w:eastAsia="仿宋_GB2312"/>
          <w:sz w:val="28"/>
          <w:szCs w:val="28"/>
        </w:rPr>
        <w:t>日印发</w:t>
      </w:r>
    </w:p>
    <w:sectPr>
      <w:pgSz w:w="11906" w:h="16838"/>
      <w:pgMar w:top="1474" w:right="1474" w:bottom="1474" w:left="1588" w:header="851" w:footer="1418"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- 1 -</w:t>
    </w:r>
    <w:r>
      <w:rPr>
        <w:rStyle w:val="11"/>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62DBC"/>
    <w:multiLevelType w:val="singleLevel"/>
    <w:tmpl w:val="FFE62DBC"/>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I3N2ZiNzA1MTM1OTA5Mjk3MWVmMzg4OWEyMTBhY2MifQ=="/>
    <w:docVar w:name="KGWebUrl" w:val="http://oa.fjys.edu.cn/seeyon/officeservlet"/>
  </w:docVars>
  <w:rsids>
    <w:rsidRoot w:val="005C5267"/>
    <w:rsid w:val="00000972"/>
    <w:rsid w:val="00052420"/>
    <w:rsid w:val="000B3202"/>
    <w:rsid w:val="000B51AA"/>
    <w:rsid w:val="001006DD"/>
    <w:rsid w:val="00155396"/>
    <w:rsid w:val="001C74B6"/>
    <w:rsid w:val="001E2E98"/>
    <w:rsid w:val="0020294D"/>
    <w:rsid w:val="00271C4A"/>
    <w:rsid w:val="00272837"/>
    <w:rsid w:val="002A13A9"/>
    <w:rsid w:val="002D297B"/>
    <w:rsid w:val="002D3E23"/>
    <w:rsid w:val="003263B1"/>
    <w:rsid w:val="003266B8"/>
    <w:rsid w:val="0038306C"/>
    <w:rsid w:val="003D3E8A"/>
    <w:rsid w:val="00431AA4"/>
    <w:rsid w:val="0043535A"/>
    <w:rsid w:val="00495A08"/>
    <w:rsid w:val="004F0723"/>
    <w:rsid w:val="005104D5"/>
    <w:rsid w:val="00524C34"/>
    <w:rsid w:val="00572872"/>
    <w:rsid w:val="00581579"/>
    <w:rsid w:val="005C5267"/>
    <w:rsid w:val="006201C6"/>
    <w:rsid w:val="00662365"/>
    <w:rsid w:val="006674AD"/>
    <w:rsid w:val="00693A28"/>
    <w:rsid w:val="006E1FAE"/>
    <w:rsid w:val="007070F0"/>
    <w:rsid w:val="00785A70"/>
    <w:rsid w:val="007A4276"/>
    <w:rsid w:val="00807E79"/>
    <w:rsid w:val="00814CC0"/>
    <w:rsid w:val="0082361A"/>
    <w:rsid w:val="008614D8"/>
    <w:rsid w:val="00873497"/>
    <w:rsid w:val="00901BEA"/>
    <w:rsid w:val="00913E36"/>
    <w:rsid w:val="0093195E"/>
    <w:rsid w:val="009550FC"/>
    <w:rsid w:val="009B2B70"/>
    <w:rsid w:val="009F3940"/>
    <w:rsid w:val="00A02337"/>
    <w:rsid w:val="00A13444"/>
    <w:rsid w:val="00A71E8C"/>
    <w:rsid w:val="00A823E9"/>
    <w:rsid w:val="00A96896"/>
    <w:rsid w:val="00AC5AD7"/>
    <w:rsid w:val="00AF0606"/>
    <w:rsid w:val="00AF7689"/>
    <w:rsid w:val="00B2428A"/>
    <w:rsid w:val="00B35F60"/>
    <w:rsid w:val="00B8188C"/>
    <w:rsid w:val="00BA4363"/>
    <w:rsid w:val="00C02BC1"/>
    <w:rsid w:val="00C37E45"/>
    <w:rsid w:val="00C61997"/>
    <w:rsid w:val="00C829FA"/>
    <w:rsid w:val="00C86BE0"/>
    <w:rsid w:val="00D35491"/>
    <w:rsid w:val="00D77AE7"/>
    <w:rsid w:val="00DA16D7"/>
    <w:rsid w:val="00DB5C6F"/>
    <w:rsid w:val="00DB7E29"/>
    <w:rsid w:val="00DC204C"/>
    <w:rsid w:val="00DD2BF4"/>
    <w:rsid w:val="00E15F95"/>
    <w:rsid w:val="00E55A46"/>
    <w:rsid w:val="00E91B87"/>
    <w:rsid w:val="00E926CB"/>
    <w:rsid w:val="00F0721E"/>
    <w:rsid w:val="00F42772"/>
    <w:rsid w:val="00F6494F"/>
    <w:rsid w:val="00F6547E"/>
    <w:rsid w:val="00F92F21"/>
    <w:rsid w:val="00FD3989"/>
    <w:rsid w:val="00FD6585"/>
    <w:rsid w:val="00FF449C"/>
    <w:rsid w:val="03A229CA"/>
    <w:rsid w:val="052854ED"/>
    <w:rsid w:val="070103E6"/>
    <w:rsid w:val="08616BBD"/>
    <w:rsid w:val="08DE41EA"/>
    <w:rsid w:val="091D2045"/>
    <w:rsid w:val="0B7D312D"/>
    <w:rsid w:val="0E7A6FC5"/>
    <w:rsid w:val="0F0737E1"/>
    <w:rsid w:val="10756E43"/>
    <w:rsid w:val="11E145E1"/>
    <w:rsid w:val="12612ADE"/>
    <w:rsid w:val="12AE01E9"/>
    <w:rsid w:val="1B344A0A"/>
    <w:rsid w:val="1C1F0F3E"/>
    <w:rsid w:val="1EE5266F"/>
    <w:rsid w:val="1EEF567D"/>
    <w:rsid w:val="1F423F62"/>
    <w:rsid w:val="207C4D21"/>
    <w:rsid w:val="226D65DA"/>
    <w:rsid w:val="267E7BC7"/>
    <w:rsid w:val="27013553"/>
    <w:rsid w:val="299320F6"/>
    <w:rsid w:val="2F264501"/>
    <w:rsid w:val="30B0352C"/>
    <w:rsid w:val="33571C4D"/>
    <w:rsid w:val="37894889"/>
    <w:rsid w:val="37BF08B2"/>
    <w:rsid w:val="387C2DDB"/>
    <w:rsid w:val="3A2F7197"/>
    <w:rsid w:val="3BC54643"/>
    <w:rsid w:val="3E69240E"/>
    <w:rsid w:val="3EDC76F8"/>
    <w:rsid w:val="41500A12"/>
    <w:rsid w:val="417B5D0A"/>
    <w:rsid w:val="41A75790"/>
    <w:rsid w:val="452F1441"/>
    <w:rsid w:val="462E3D98"/>
    <w:rsid w:val="494C1924"/>
    <w:rsid w:val="4B1B3F74"/>
    <w:rsid w:val="541D2C33"/>
    <w:rsid w:val="54AD3C24"/>
    <w:rsid w:val="5F685305"/>
    <w:rsid w:val="5FFB14B4"/>
    <w:rsid w:val="612C183E"/>
    <w:rsid w:val="613F62C6"/>
    <w:rsid w:val="62F15427"/>
    <w:rsid w:val="632E2673"/>
    <w:rsid w:val="6A1D0BC0"/>
    <w:rsid w:val="6E5650E4"/>
    <w:rsid w:val="6EB1180C"/>
    <w:rsid w:val="721E60C7"/>
    <w:rsid w:val="730E4848"/>
    <w:rsid w:val="732036D1"/>
    <w:rsid w:val="747C74B0"/>
    <w:rsid w:val="75156561"/>
    <w:rsid w:val="758D6EB2"/>
    <w:rsid w:val="76540EE5"/>
    <w:rsid w:val="767D793D"/>
    <w:rsid w:val="79C619C3"/>
    <w:rsid w:val="7F9921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4"/>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styleId="12">
    <w:name w:val="Hyperlink"/>
    <w:basedOn w:val="9"/>
    <w:semiHidden/>
    <w:uiPriority w:val="99"/>
    <w:rPr>
      <w:rFonts w:cs="Times New Roman"/>
      <w:color w:val="0000FF"/>
      <w:u w:val="single"/>
    </w:rPr>
  </w:style>
  <w:style w:type="character" w:customStyle="1" w:styleId="13">
    <w:name w:val="Heading 1 Char"/>
    <w:basedOn w:val="9"/>
    <w:link w:val="2"/>
    <w:locked/>
    <w:uiPriority w:val="99"/>
    <w:rPr>
      <w:rFonts w:ascii="宋体" w:hAnsi="宋体" w:eastAsia="宋体" w:cs="宋体"/>
      <w:b/>
      <w:bCs/>
      <w:kern w:val="36"/>
      <w:sz w:val="48"/>
      <w:szCs w:val="48"/>
    </w:rPr>
  </w:style>
  <w:style w:type="character" w:customStyle="1" w:styleId="14">
    <w:name w:val="Heading 3 Char"/>
    <w:basedOn w:val="9"/>
    <w:link w:val="3"/>
    <w:locked/>
    <w:uiPriority w:val="99"/>
    <w:rPr>
      <w:rFonts w:ascii="宋体" w:hAnsi="宋体" w:eastAsia="宋体" w:cs="宋体"/>
      <w:b/>
      <w:bCs/>
      <w:kern w:val="0"/>
      <w:sz w:val="27"/>
      <w:szCs w:val="27"/>
    </w:rPr>
  </w:style>
  <w:style w:type="character" w:customStyle="1" w:styleId="15">
    <w:name w:val="Footer Char"/>
    <w:basedOn w:val="9"/>
    <w:link w:val="5"/>
    <w:locked/>
    <w:uiPriority w:val="99"/>
    <w:rPr>
      <w:rFonts w:cs="Times New Roman"/>
      <w:sz w:val="18"/>
      <w:szCs w:val="18"/>
    </w:rPr>
  </w:style>
  <w:style w:type="character" w:customStyle="1" w:styleId="16">
    <w:name w:val="Header Char"/>
    <w:basedOn w:val="9"/>
    <w:link w:val="6"/>
    <w:locked/>
    <w:uiPriority w:val="99"/>
    <w:rPr>
      <w:rFonts w:cs="Times New Roman"/>
      <w:sz w:val="18"/>
      <w:szCs w:val="18"/>
    </w:rPr>
  </w:style>
  <w:style w:type="paragraph" w:customStyle="1" w:styleId="17">
    <w:name w:val="修订1"/>
    <w:hidden/>
    <w:semiHidden/>
    <w:uiPriority w:val="99"/>
    <w:rPr>
      <w:rFonts w:ascii="Calibri" w:hAnsi="Calibri" w:eastAsia="宋体" w:cs="Times New Roman"/>
      <w:kern w:val="2"/>
      <w:sz w:val="21"/>
      <w:szCs w:val="22"/>
      <w:lang w:val="en-US" w:eastAsia="zh-CN" w:bidi="ar-SA"/>
    </w:rPr>
  </w:style>
  <w:style w:type="character" w:customStyle="1" w:styleId="18">
    <w:name w:val="Balloon Text Char"/>
    <w:basedOn w:val="9"/>
    <w:link w:val="4"/>
    <w:semiHidden/>
    <w:qFormat/>
    <w:uiPriority w:val="99"/>
    <w:rPr>
      <w:rFonts w:ascii="Calibri" w:hAnsi="Calibri"/>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daohangxitong.com</Company>
  <Pages>12</Pages>
  <Words>700</Words>
  <Characters>3993</Characters>
  <Lines>0</Lines>
  <Paragraphs>0</Paragraphs>
  <TotalTime>68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2023-11-28T03:43:00Z</dcterms:created>
  <dc:creator>daohangxitong.com</dc:creator>
  <cp:lastModifiedBy>FF</cp:lastModifiedBy>
  <cp:lastPrinted>2023-11-30T08:52:51Z</cp:lastPrinted>
  <dcterms:modified xsi:type="dcterms:W3CDTF">2023-11-30T09:30:53Z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C6FAE75FF2BAE17182B66465BEDDD7E7_43</vt:lpwstr>
  </property>
</Properties>
</file>