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福建幼儿师范高等专科学校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高低压配电房安全工器具及直流屏电池采购更换项目报价单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4"/>
        <w:tblW w:w="13953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544"/>
        <w:gridCol w:w="1984"/>
        <w:gridCol w:w="600"/>
        <w:gridCol w:w="375"/>
        <w:gridCol w:w="868"/>
        <w:gridCol w:w="1701"/>
        <w:gridCol w:w="2977"/>
        <w:gridCol w:w="11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型号、规格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保修期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单价（元）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白马校区：高压验电笔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10KV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把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白马校区：高压绝缘手套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10KV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双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白马校区：高压绝缘靴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10KV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双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白马校区：高压接地棒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10KV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套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金山校区：绝缘垫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0.4KV-5厘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米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仓山校区：新电房直流屏电池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NPG12-55AH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仓山校区：旧电房直流屏电池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NPG12-18AH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仓山校区：旧电房</w:t>
            </w:r>
            <w:r>
              <w:rPr>
                <w:rFonts w:hint="eastAsia" w:ascii="仿宋" w:hAnsi="仿宋" w:eastAsia="仿宋" w:cs="宋体"/>
                <w:sz w:val="24"/>
              </w:rPr>
              <w:t>电流表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6L2</w:t>
            </w:r>
            <w:r>
              <w:rPr>
                <w:rFonts w:hint="eastAsia" w:ascii="仿宋" w:hAnsi="仿宋" w:eastAsia="仿宋" w:cs="宋体"/>
                <w:sz w:val="24"/>
              </w:rPr>
              <w:t>-6</w:t>
            </w:r>
            <w:r>
              <w:rPr>
                <w:rFonts w:ascii="仿宋" w:hAnsi="仿宋" w:eastAsia="仿宋" w:cs="宋体"/>
                <w:sz w:val="24"/>
              </w:rPr>
              <w:t>00</w:t>
            </w:r>
            <w:r>
              <w:rPr>
                <w:rFonts w:hint="eastAsia" w:ascii="仿宋" w:hAnsi="仿宋" w:eastAsia="仿宋" w:cs="宋体"/>
                <w:sz w:val="24"/>
              </w:rPr>
              <w:t>/</w:t>
            </w:r>
            <w:r>
              <w:rPr>
                <w:rFonts w:ascii="仿宋" w:hAnsi="仿宋" w:eastAsia="仿宋" w:cs="宋体"/>
                <w:sz w:val="24"/>
              </w:rPr>
              <w:t>5A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块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项目合计费用：最高限价（</w:t>
            </w:r>
            <w:r>
              <w:rPr>
                <w:rFonts w:ascii="仿宋" w:hAnsi="仿宋" w:eastAsia="仿宋" w:cs="宋体"/>
                <w:sz w:val="24"/>
              </w:rPr>
              <w:t>25000</w:t>
            </w:r>
            <w:r>
              <w:rPr>
                <w:rFonts w:hint="eastAsia" w:ascii="仿宋" w:hAnsi="仿宋" w:eastAsia="仿宋" w:cs="宋体"/>
                <w:sz w:val="24"/>
              </w:rPr>
              <w:t>元）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9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39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                        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                   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报价单位全称（盖章）：</w:t>
            </w:r>
          </w:p>
        </w:tc>
      </w:tr>
    </w:tbl>
    <w:p>
      <w:pPr>
        <w:ind w:firstLine="1280" w:firstLine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注：1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报价内容不能漏项、不能涂改，否则做无效报价处理。</w:t>
      </w:r>
    </w:p>
    <w:p>
      <w:pPr>
        <w:ind w:firstLine="840" w:firstLineChars="40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</w:t>
      </w:r>
      <w:r>
        <w:rPr>
          <w:rFonts w:ascii="仿宋" w:hAnsi="仿宋" w:eastAsia="仿宋" w:cs="仿宋"/>
          <w:sz w:val="32"/>
          <w:szCs w:val="32"/>
        </w:rPr>
        <w:t xml:space="preserve">  2.</w:t>
      </w:r>
      <w:r>
        <w:rPr>
          <w:rFonts w:hint="eastAsia" w:ascii="仿宋" w:hAnsi="仿宋" w:eastAsia="仿宋" w:cs="仿宋"/>
          <w:sz w:val="32"/>
          <w:szCs w:val="32"/>
        </w:rPr>
        <w:t>报价需含安装调试费、税费、运杂费等所有费用。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AC"/>
    <w:rsid w:val="000353BB"/>
    <w:rsid w:val="002F5B03"/>
    <w:rsid w:val="003D0768"/>
    <w:rsid w:val="0053167A"/>
    <w:rsid w:val="006075F1"/>
    <w:rsid w:val="00821084"/>
    <w:rsid w:val="0088360F"/>
    <w:rsid w:val="0091559E"/>
    <w:rsid w:val="00B94386"/>
    <w:rsid w:val="00C25063"/>
    <w:rsid w:val="00C4317C"/>
    <w:rsid w:val="00C57A1C"/>
    <w:rsid w:val="00CA0CED"/>
    <w:rsid w:val="00CD4E43"/>
    <w:rsid w:val="00D26AB0"/>
    <w:rsid w:val="00D93FE7"/>
    <w:rsid w:val="00DB7BF6"/>
    <w:rsid w:val="00F155AC"/>
    <w:rsid w:val="6EEB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445</Characters>
  <Lines>3</Lines>
  <Paragraphs>1</Paragraphs>
  <TotalTime>11</TotalTime>
  <ScaleCrop>false</ScaleCrop>
  <LinksUpToDate>false</LinksUpToDate>
  <CharactersWithSpaces>521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2022-03-02T02:02:00Z</dcterms:created>
  <dc:creator>674220261@qq.com</dc:creator>
  <cp:lastModifiedBy>萝卜炖猪泡泡龙</cp:lastModifiedBy>
  <dcterms:modified xsi:type="dcterms:W3CDTF">2022-03-02T06:39:11Z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4B1DE31B253A4F2EA16C3748B22D336D</vt:lpwstr>
  </property>
</Properties>
</file>