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leftChars="0"/>
        <w:jc w:val="center"/>
        <w:outlineLvl w:val="0"/>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采购</w:t>
      </w:r>
      <w:bookmarkStart w:id="1" w:name="_GoBack"/>
      <w:bookmarkEnd w:id="1"/>
      <w:r>
        <w:rPr>
          <w:rFonts w:hint="eastAsia" w:ascii="方正小标宋_GBK" w:hAnsi="方正小标宋_GBK" w:eastAsia="方正小标宋_GBK" w:cs="方正小标宋_GBK"/>
          <w:b w:val="0"/>
          <w:bCs w:val="0"/>
          <w:sz w:val="44"/>
          <w:szCs w:val="44"/>
          <w:lang w:val="en-US" w:eastAsia="zh-CN"/>
        </w:rPr>
        <w:t>项目清单及参数要求</w:t>
      </w:r>
    </w:p>
    <w:p>
      <w:pPr>
        <w:numPr>
          <w:ilvl w:val="0"/>
          <w:numId w:val="0"/>
        </w:numPr>
        <w:spacing w:line="360" w:lineRule="auto"/>
        <w:ind w:leftChars="0"/>
        <w:jc w:val="left"/>
        <w:outlineLvl w:val="0"/>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一、人造草坪采购项目清单</w:t>
      </w:r>
    </w:p>
    <w:tbl>
      <w:tblPr>
        <w:tblStyle w:val="4"/>
        <w:tblpPr w:leftFromText="180" w:rightFromText="180" w:vertAnchor="page" w:horzAnchor="page" w:tblpX="1700" w:tblpY="3051"/>
        <w:tblOverlap w:val="never"/>
        <w:tblW w:w="8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606"/>
        <w:gridCol w:w="706"/>
        <w:gridCol w:w="1111"/>
        <w:gridCol w:w="4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序号</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名称</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单位</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数量</w:t>
            </w:r>
          </w:p>
        </w:tc>
        <w:tc>
          <w:tcPr>
            <w:tcW w:w="4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4"/>
                <w:szCs w:val="24"/>
                <w:u w:val="none"/>
                <w:lang w:val="en-US"/>
              </w:rPr>
            </w:pPr>
            <w:r>
              <w:rPr>
                <w:rFonts w:hint="eastAsia" w:asciiTheme="majorEastAsia" w:hAnsiTheme="majorEastAsia" w:eastAsiaTheme="majorEastAsia" w:cstheme="majorEastAsia"/>
                <w:i w:val="0"/>
                <w:iCs w:val="0"/>
                <w:color w:val="000000"/>
                <w:kern w:val="0"/>
                <w:sz w:val="24"/>
                <w:szCs w:val="24"/>
                <w:u w:val="none"/>
                <w:lang w:val="en-US" w:eastAsia="zh-CN" w:bidi="ar"/>
              </w:rPr>
              <w:t>人工草坪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4"/>
                <w:szCs w:val="24"/>
                <w:u w:val="none"/>
                <w:lang w:val="en-US"/>
              </w:rPr>
            </w:pPr>
            <w:r>
              <w:rPr>
                <w:rFonts w:hint="eastAsia" w:asciiTheme="majorEastAsia" w:hAnsiTheme="majorEastAsia" w:eastAsiaTheme="majorEastAsia" w:cstheme="majorEastAsia"/>
                <w:i w:val="0"/>
                <w:iCs w:val="0"/>
                <w:color w:val="000000"/>
                <w:kern w:val="0"/>
                <w:sz w:val="24"/>
                <w:szCs w:val="24"/>
                <w:u w:val="none"/>
                <w:lang w:val="en-US" w:eastAsia="zh-CN" w:bidi="ar"/>
              </w:rPr>
              <w:t>280</w:t>
            </w:r>
          </w:p>
        </w:tc>
        <w:tc>
          <w:tcPr>
            <w:tcW w:w="4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default" w:asciiTheme="majorEastAsia" w:hAnsiTheme="majorEastAsia" w:eastAsiaTheme="majorEastAsia" w:cstheme="majorEastAsia"/>
                <w:i w:val="0"/>
                <w:iCs w:val="0"/>
                <w:color w:val="000000"/>
                <w:kern w:val="0"/>
                <w:sz w:val="24"/>
                <w:szCs w:val="24"/>
                <w:u w:val="none"/>
                <w:lang w:val="en-US" w:eastAsia="zh-CN" w:bidi="ar"/>
              </w:rPr>
              <w:t>原榕树下需覆土整平</w:t>
            </w:r>
            <w:r>
              <w:rPr>
                <w:rFonts w:hint="eastAsia" w:asciiTheme="majorEastAsia" w:hAnsiTheme="majorEastAsia" w:eastAsiaTheme="majorEastAsia" w:cstheme="majorEastAsia"/>
                <w:i w:val="0"/>
                <w:iCs w:val="0"/>
                <w:color w:val="000000"/>
                <w:kern w:val="0"/>
                <w:sz w:val="24"/>
                <w:szCs w:val="24"/>
                <w:u w:val="none"/>
                <w:lang w:val="en-US" w:eastAsia="zh-CN" w:bidi="ar"/>
              </w:rPr>
              <w:t>。</w:t>
            </w:r>
          </w:p>
          <w:p>
            <w:pPr>
              <w:keepNext w:val="0"/>
              <w:keepLines w:val="0"/>
              <w:widowControl/>
              <w:suppressLineNumbers w:val="0"/>
              <w:jc w:val="both"/>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r>
              <w:rPr>
                <w:rFonts w:hint="default" w:asciiTheme="majorEastAsia" w:hAnsiTheme="majorEastAsia" w:eastAsiaTheme="majorEastAsia" w:cstheme="majorEastAsia"/>
                <w:i w:val="0"/>
                <w:iCs w:val="0"/>
                <w:color w:val="000000"/>
                <w:kern w:val="0"/>
                <w:sz w:val="24"/>
                <w:szCs w:val="24"/>
                <w:u w:val="none"/>
                <w:lang w:val="en-US" w:eastAsia="zh-CN" w:bidi="ar"/>
              </w:rPr>
              <w:t>铺设至排水沟边缘时，草坪与沟盖板（或沟沿）应平顺衔接，草坪边缘应固定牢固，不翘起、翻卷。</w:t>
            </w:r>
          </w:p>
          <w:p>
            <w:pPr>
              <w:keepNext w:val="0"/>
              <w:keepLines w:val="0"/>
              <w:widowControl/>
              <w:suppressLineNumbers w:val="0"/>
              <w:jc w:val="both"/>
              <w:textAlignment w:val="center"/>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r>
              <w:rPr>
                <w:rFonts w:hint="default" w:asciiTheme="majorEastAsia" w:hAnsiTheme="majorEastAsia" w:eastAsiaTheme="majorEastAsia" w:cstheme="majorEastAsia"/>
                <w:i w:val="0"/>
                <w:iCs w:val="0"/>
                <w:color w:val="000000"/>
                <w:kern w:val="0"/>
                <w:sz w:val="24"/>
                <w:szCs w:val="24"/>
                <w:u w:val="none"/>
                <w:lang w:val="en-US" w:eastAsia="zh-CN" w:bidi="ar"/>
              </w:rPr>
              <w:t>草坪面层应略高于排水沟盖板（或沟沿）1~3mm，或按现场原有标高顺接，保证雨水能自然流入排水沟，且草坪边缘不积水。</w:t>
            </w:r>
          </w:p>
        </w:tc>
      </w:tr>
    </w:tbl>
    <w:p>
      <w:pPr>
        <w:numPr>
          <w:ilvl w:val="0"/>
          <w:numId w:val="0"/>
        </w:numPr>
        <w:spacing w:line="360" w:lineRule="auto"/>
        <w:ind w:leftChars="0"/>
        <w:jc w:val="left"/>
        <w:outlineLvl w:val="0"/>
        <w:rPr>
          <w:rFonts w:hint="eastAsia" w:ascii="CESI黑体-GB2312" w:hAnsi="CESI黑体-GB2312" w:eastAsia="CESI黑体-GB2312" w:cs="CESI黑体-GB2312"/>
          <w:b w:val="0"/>
          <w:bCs w:val="0"/>
          <w:sz w:val="32"/>
          <w:szCs w:val="32"/>
          <w:lang w:val="en-US" w:eastAsia="zh-CN"/>
        </w:rPr>
      </w:pPr>
    </w:p>
    <w:p>
      <w:pPr>
        <w:numPr>
          <w:ilvl w:val="0"/>
          <w:numId w:val="0"/>
        </w:numPr>
        <w:spacing w:line="360" w:lineRule="auto"/>
        <w:ind w:leftChars="0"/>
        <w:jc w:val="left"/>
        <w:outlineLvl w:val="0"/>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二、人造草坪规格要求和参数要求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1.人造草坪化学性能应满足GB36246-2018《中小学合成材料面层运动场地》下表内容（须提供检测报告复印件佐证）</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40"/>
        <w:gridCol w:w="4006"/>
        <w:gridCol w:w="1341"/>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检验检测项目</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单位</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有害物质含量</w:t>
            </w: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3种邻苯二甲酸酯类化合物（DBP、BBP、DEHP）总和</w:t>
            </w:r>
          </w:p>
        </w:tc>
        <w:tc>
          <w:tcPr>
            <w:tcW w:w="13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g/kg</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3种邻苯二甲酸酯类化合物（DNOP、DINP、DIDP）总和</w:t>
            </w: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18种多环芳烃总和</w:t>
            </w:r>
          </w:p>
        </w:tc>
        <w:tc>
          <w:tcPr>
            <w:tcW w:w="13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mg/kg</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苯并[a]芘</w:t>
            </w: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可溶性铅</w:t>
            </w: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可溶性铬</w:t>
            </w: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可溶性镉</w:t>
            </w: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可溶性汞</w:t>
            </w: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有害物质释放量</w:t>
            </w: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总挥发性有机化合物（TVOC）</w:t>
            </w:r>
          </w:p>
        </w:tc>
        <w:tc>
          <w:tcPr>
            <w:tcW w:w="134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mg/（㎡▪h）</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甲醛</w:t>
            </w: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苯</w:t>
            </w: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400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甲苯、二甲苯和乙苯总和</w:t>
            </w: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≤1.0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 25mm直曲混织草坪技术参数</w:t>
      </w:r>
    </w:p>
    <w:tbl>
      <w:tblPr>
        <w:tblStyle w:val="4"/>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816"/>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9"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草丝形状及编织工艺</w:t>
            </w:r>
          </w:p>
        </w:tc>
        <w:tc>
          <w:tcPr>
            <w:tcW w:w="3310"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挤出高弹性耐磨PE材质直单丝与</w:t>
            </w:r>
            <w:r>
              <w:rPr>
                <w:rStyle w:val="8"/>
                <w:rFonts w:hint="default" w:asciiTheme="majorEastAsia" w:hAnsiTheme="majorEastAsia" w:eastAsiaTheme="majorEastAsia" w:cstheme="majorEastAsia"/>
                <w:sz w:val="24"/>
                <w:szCs w:val="24"/>
                <w:lang w:val="en-US" w:eastAsia="zh-CN" w:bidi="ar"/>
              </w:rPr>
              <w:t>PE</w:t>
            </w:r>
            <w:r>
              <w:rPr>
                <w:rStyle w:val="8"/>
                <w:rFonts w:hint="eastAsia" w:asciiTheme="majorEastAsia" w:hAnsiTheme="majorEastAsia" w:eastAsiaTheme="majorEastAsia" w:cstheme="majorEastAsia"/>
                <w:sz w:val="24"/>
                <w:szCs w:val="24"/>
                <w:lang w:val="en-US" w:eastAsia="zh-CN" w:bidi="ar"/>
              </w:rPr>
              <w:t>材质卷曲丝不包纱簇绒编织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689"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草丝颜色</w:t>
            </w:r>
          </w:p>
        </w:tc>
        <w:tc>
          <w:tcPr>
            <w:tcW w:w="3310"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default"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双色（直单丝翠柠各半）或单丝翠绿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5" w:hRule="atLeast"/>
          <w:jc w:val="center"/>
        </w:trPr>
        <w:tc>
          <w:tcPr>
            <w:tcW w:w="1689"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底布走针方式</w:t>
            </w:r>
          </w:p>
        </w:tc>
        <w:tc>
          <w:tcPr>
            <w:tcW w:w="3310"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簇绒法一形走针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689"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草纤维磅重（dtex）</w:t>
            </w:r>
          </w:p>
        </w:tc>
        <w:tc>
          <w:tcPr>
            <w:tcW w:w="3310"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default" w:asciiTheme="majorEastAsia" w:hAnsiTheme="majorEastAsia" w:eastAsiaTheme="majorEastAsia" w:cstheme="majorEastAsia"/>
                <w:sz w:val="24"/>
                <w:szCs w:val="24"/>
                <w:lang w:val="en-US" w:eastAsia="zh-CN" w:bidi="ar"/>
              </w:rPr>
              <w:t>Dtex</w:t>
            </w:r>
            <w:r>
              <w:rPr>
                <w:rStyle w:val="8"/>
                <w:rFonts w:hint="eastAsia" w:asciiTheme="majorEastAsia" w:hAnsiTheme="majorEastAsia" w:eastAsiaTheme="majorEastAsia" w:cstheme="majorEastAsia"/>
                <w:sz w:val="24"/>
                <w:szCs w:val="24"/>
                <w:lang w:val="en-US" w:eastAsia="zh-CN" w:bidi="ar"/>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689"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草高（不含底布高度）</w:t>
            </w:r>
          </w:p>
        </w:tc>
        <w:tc>
          <w:tcPr>
            <w:tcW w:w="3310"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25±1mm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689"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行距</w:t>
            </w:r>
          </w:p>
        </w:tc>
        <w:tc>
          <w:tcPr>
            <w:tcW w:w="3310"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default" w:asciiTheme="majorEastAsia" w:hAnsiTheme="majorEastAsia" w:eastAsiaTheme="majorEastAsia" w:cstheme="majorEastAsia"/>
                <w:sz w:val="24"/>
                <w:szCs w:val="24"/>
                <w:lang w:val="en-US" w:eastAsia="zh-CN" w:bidi="ar"/>
              </w:rPr>
              <w:t>3</w:t>
            </w:r>
            <w:r>
              <w:rPr>
                <w:rStyle w:val="8"/>
                <w:rFonts w:hint="eastAsia" w:asciiTheme="majorEastAsia" w:hAnsiTheme="majorEastAsia" w:eastAsiaTheme="majorEastAsia" w:cstheme="majorEastAsia"/>
                <w:sz w:val="24"/>
                <w:szCs w:val="24"/>
                <w:lang w:val="en-US" w:eastAsia="zh-CN" w:bidi="ar"/>
              </w:rPr>
              <w:t>/</w:t>
            </w:r>
            <w:r>
              <w:rPr>
                <w:rStyle w:val="8"/>
                <w:rFonts w:hint="default" w:asciiTheme="majorEastAsia" w:hAnsiTheme="majorEastAsia" w:eastAsiaTheme="majorEastAsia" w:cstheme="majorEastAsia"/>
                <w:sz w:val="24"/>
                <w:szCs w:val="24"/>
                <w:lang w:val="en-US" w:eastAsia="zh-CN" w:bidi="ar"/>
              </w:rPr>
              <w:t>8</w:t>
            </w:r>
            <w:r>
              <w:rPr>
                <w:rStyle w:val="8"/>
                <w:rFonts w:hint="eastAsia" w:asciiTheme="majorEastAsia" w:hAnsiTheme="majorEastAsia" w:eastAsiaTheme="majorEastAsia" w:cstheme="majorEastAsia"/>
                <w:sz w:val="24"/>
                <w:szCs w:val="24"/>
                <w:lang w:val="en-US" w:eastAsia="zh-CN" w:bidi="ar"/>
              </w:rPr>
              <w:t>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689"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织距</w:t>
            </w:r>
          </w:p>
        </w:tc>
        <w:tc>
          <w:tcPr>
            <w:tcW w:w="3310"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不低于20针/10cm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689"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密度</w:t>
            </w:r>
          </w:p>
        </w:tc>
        <w:tc>
          <w:tcPr>
            <w:tcW w:w="3310"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不低于21000针/㎡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689"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底布材质</w:t>
            </w:r>
          </w:p>
        </w:tc>
        <w:tc>
          <w:tcPr>
            <w:tcW w:w="3310"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default"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双层网格底布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689"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背胶</w:t>
            </w:r>
          </w:p>
        </w:tc>
        <w:tc>
          <w:tcPr>
            <w:tcW w:w="3310"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default"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环保丁苯乳胶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1689"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卷宽</w:t>
            </w:r>
          </w:p>
        </w:tc>
        <w:tc>
          <w:tcPr>
            <w:tcW w:w="3310" w:type="pct"/>
            <w:tcBorders>
              <w:top w:val="single" w:color="auto" w:sz="4" w:space="0"/>
              <w:left w:val="single" w:color="auto" w:sz="4" w:space="0"/>
              <w:bottom w:val="single" w:color="auto" w:sz="4" w:space="0"/>
              <w:right w:val="single" w:color="auto" w:sz="4" w:space="0"/>
            </w:tcBorders>
            <w:shd w:val="clear" w:color="auto" w:fill="FFFFFF"/>
            <w:tcMar>
              <w:top w:w="15" w:type="dxa"/>
              <w:left w:w="0" w:type="dxa"/>
              <w:bottom w:w="15" w:type="dxa"/>
              <w:right w:w="0" w:type="dxa"/>
            </w:tcMa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Style w:val="8"/>
                <w:rFonts w:hint="eastAsia" w:asciiTheme="majorEastAsia" w:hAnsiTheme="majorEastAsia" w:eastAsiaTheme="majorEastAsia" w:cstheme="majorEastAsia"/>
                <w:sz w:val="24"/>
                <w:szCs w:val="24"/>
                <w:lang w:val="en-US" w:eastAsia="zh-CN" w:bidi="ar"/>
              </w:rPr>
            </w:pPr>
            <w:r>
              <w:rPr>
                <w:rStyle w:val="8"/>
                <w:rFonts w:hint="eastAsia" w:asciiTheme="majorEastAsia" w:hAnsiTheme="majorEastAsia" w:eastAsiaTheme="majorEastAsia" w:cstheme="majorEastAsia"/>
                <w:sz w:val="24"/>
                <w:szCs w:val="24"/>
                <w:lang w:val="en-US" w:eastAsia="zh-CN" w:bidi="ar"/>
              </w:rPr>
              <w:t>4米或2米（卷长：按场地实际需要）</w:t>
            </w:r>
          </w:p>
        </w:tc>
      </w:tr>
    </w:tbl>
    <w:p>
      <w:pPr>
        <w:adjustRightInd w:val="0"/>
        <w:spacing w:line="400" w:lineRule="exact"/>
        <w:jc w:val="left"/>
        <w:outlineLvl w:val="0"/>
        <w:rPr>
          <w:rFonts w:hint="eastAsia" w:ascii="宋体"/>
          <w:b/>
          <w:bCs/>
          <w:sz w:val="24"/>
          <w:lang w:val="en-US" w:eastAsia="zh-CN"/>
        </w:rPr>
      </w:pPr>
    </w:p>
    <w:p>
      <w:pPr>
        <w:numPr>
          <w:ilvl w:val="0"/>
          <w:numId w:val="0"/>
        </w:numPr>
        <w:spacing w:line="360" w:lineRule="auto"/>
        <w:ind w:leftChars="0"/>
        <w:jc w:val="left"/>
        <w:outlineLvl w:val="0"/>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三、技术参数要求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val="0"/>
          <w:bCs w:val="0"/>
          <w:sz w:val="24"/>
          <w:szCs w:val="24"/>
          <w:lang w:val="en-US" w:eastAsia="zh-CN"/>
        </w:rPr>
        <w:t>1.环保性能要求：</w:t>
      </w:r>
      <w:r>
        <w:rPr>
          <w:rFonts w:hint="default" w:asciiTheme="majorEastAsia" w:hAnsiTheme="majorEastAsia" w:eastAsiaTheme="majorEastAsia" w:cstheme="majorEastAsia"/>
          <w:b w:val="0"/>
          <w:bCs w:val="0"/>
          <w:sz w:val="24"/>
          <w:szCs w:val="24"/>
          <w:lang w:val="en-US" w:eastAsia="zh-CN"/>
        </w:rPr>
        <w:t>人造草坪生产企业出具的人造草坪产品依据GB/T 20394-2019标准进行氙灯老化168小时+雨水（3%乙酸，40℃）老化168小时+高低温老化7次循环（每个循环60℃ 12小时、常温1小时、－40℃ 12小时）后测试TVOC、甲醛、苯乙烯、4-苯基环己烯及可迁移元素锑Sb、砷As、钡Ba、镉Cd、铬Cr、铅Pb、汞Hg、硒Se结果均为未检出，耐酸性(30%H₂SO₄,168h)、耐碱性(20%Na₂CO₃,168h)均合格的专项</w:t>
      </w:r>
      <w:r>
        <w:rPr>
          <w:rFonts w:hint="eastAsia" w:asciiTheme="majorEastAsia" w:hAnsiTheme="majorEastAsia" w:eastAsiaTheme="majorEastAsia" w:cstheme="majorEastAsia"/>
          <w:b w:val="0"/>
          <w:bCs w:val="0"/>
          <w:sz w:val="24"/>
          <w:szCs w:val="24"/>
          <w:lang w:val="en-US" w:eastAsia="zh-CN"/>
        </w:rPr>
        <w:t>检测，</w:t>
      </w:r>
      <w:r>
        <w:rPr>
          <w:rFonts w:hint="eastAsia" w:asciiTheme="majorEastAsia" w:hAnsiTheme="majorEastAsia" w:eastAsiaTheme="majorEastAsia" w:cstheme="majorEastAsia"/>
          <w:b/>
          <w:bCs/>
          <w:sz w:val="24"/>
          <w:szCs w:val="24"/>
          <w:lang w:val="en-US" w:eastAsia="zh-CN"/>
        </w:rPr>
        <w:t>须提供国家认可的第三方检测机构出具具有CMA标识的检测报告复印件加盖公章及全国认证认可信息公共服务平台网站（http：//cx.cnca.cn）查询截图佐证。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val="0"/>
          <w:bCs w:val="0"/>
          <w:sz w:val="24"/>
          <w:szCs w:val="24"/>
          <w:lang w:val="en-US" w:eastAsia="zh-CN"/>
        </w:rPr>
        <w:t>2.底布拉断力性能要求:人造草坪产品依据GB/T 20394-2019、QB/T5591-2021标准测试草丝拉断力≥13N、单簇草丝拔出力≥43N，底布拉断力纵向≥1200N、底布拉断力横向≥1250N，经过氙灯老化168小时+雨水（3%乙酸，40℃）老化168小时+高低温老化7次循环（每个循环60℃ 12小时、常温1小时、－40℃ 12小时）老化测试后草丝色牢度≥7级，草丝拉断力保留率≥100%，单簇草丝拔出力保留率≥97.5%，纵向底布拉断力保留率≥97%，横向底布拉断力保留率≥97%、热水浸泡后单簇草丝拔出力≥38N、外观背胶无掉胶、掉色专项检测，</w:t>
      </w:r>
      <w:r>
        <w:rPr>
          <w:rFonts w:hint="eastAsia" w:asciiTheme="majorEastAsia" w:hAnsiTheme="majorEastAsia" w:eastAsiaTheme="majorEastAsia" w:cstheme="majorEastAsia"/>
          <w:b/>
          <w:bCs/>
          <w:sz w:val="24"/>
          <w:szCs w:val="24"/>
          <w:lang w:val="en-US" w:eastAsia="zh-CN"/>
        </w:rPr>
        <w:t>须提供国家认可的第三方检测机构出具具有CMA标识的检测报告复印件加盖公章及全国认证认可信息公共服务平台网站（http：//cx.cnca.cn）查询截图佐证。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val="0"/>
          <w:bCs w:val="0"/>
          <w:sz w:val="24"/>
          <w:szCs w:val="24"/>
          <w:lang w:val="en-US" w:eastAsia="zh-CN"/>
        </w:rPr>
        <w:t>3.抗滑值性能要求：人造草坪须出具依据GB 36246-2018、GB/T 14833-2020标准检测拉伸强度≥11Mpa，经过氙灯老化500小时+雨水（3%乙酸，40℃）老化500小时+高低温老化20次循环（每个循环60℃ 12小时、常温1小时、－40℃ 12小时）后测试抗滑值≥84BPN、拉断伸长率≥44%、阻燃性能Ⅰ级、拉伸强度保留率≥85%，尺寸稳定性横向、纵向均小于等于0.5%的合格专项检测，</w:t>
      </w:r>
      <w:r>
        <w:rPr>
          <w:rFonts w:hint="eastAsia" w:asciiTheme="majorEastAsia" w:hAnsiTheme="majorEastAsia" w:eastAsiaTheme="majorEastAsia" w:cstheme="majorEastAsia"/>
          <w:b/>
          <w:bCs/>
          <w:sz w:val="24"/>
          <w:szCs w:val="24"/>
          <w:lang w:val="en-US" w:eastAsia="zh-CN"/>
        </w:rPr>
        <w:t>须提供国家认可的第三方检测机构出具具有CMA标识的检测报告复印件加盖公章及全国认证认可信息公共服务平台网站（http：//cx.cnca.cn）查询截图佐证。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sz w:val="24"/>
          <w:szCs w:val="24"/>
          <w:lang w:val="en-US" w:eastAsia="zh-CN"/>
        </w:rPr>
      </w:pPr>
      <w:bookmarkStart w:id="0" w:name="_Hlk178490774"/>
      <w:r>
        <w:rPr>
          <w:rFonts w:hint="eastAsia" w:asciiTheme="majorEastAsia" w:hAnsiTheme="majorEastAsia" w:eastAsiaTheme="majorEastAsia" w:cstheme="majorEastAsia"/>
          <w:b w:val="0"/>
          <w:bCs w:val="0"/>
          <w:sz w:val="24"/>
          <w:szCs w:val="24"/>
          <w:lang w:val="en-US" w:eastAsia="zh-CN"/>
        </w:rPr>
        <w:t>4.老化后冲击吸收、垂直变形要求：人造草坪产品依据GB/T 20394-2019、GB36246-2018、GB/T 43566-2023标准进行经过氙灯500h+耐酸（30%硫酸）500h+耐碱（20%碳酸钠）500h+常温常湿（23℃、湿度50%）500h+高温（90℃、湿度5%）500h+低温（-40℃、湿度5%）500h老化后测试冲击吸收达50%-55%、垂直变形达6-8mm、阻燃性中心到损毁边沿最大距离≤45mm、抗静电：9×108-1×109Ω、拉伸强度≥700N/100mm、剥离强度≥90N/100mm、渗水速率≥200mm/h的专项检测，</w:t>
      </w:r>
      <w:r>
        <w:rPr>
          <w:rFonts w:hint="eastAsia" w:asciiTheme="majorEastAsia" w:hAnsiTheme="majorEastAsia" w:eastAsiaTheme="majorEastAsia" w:cstheme="majorEastAsia"/>
          <w:b/>
          <w:bCs/>
          <w:sz w:val="24"/>
          <w:szCs w:val="24"/>
          <w:lang w:val="en-US" w:eastAsia="zh-CN"/>
        </w:rPr>
        <w:t>须提供国家认可的第三方检测机构出具具有CMA标识的检测报告复印件加盖公章及全国认证认可信息公共服务平台网站（http：//cx.cnca.cn）查询截图佐证。</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val="0"/>
          <w:bCs w:val="0"/>
          <w:sz w:val="24"/>
          <w:szCs w:val="24"/>
          <w:lang w:val="en-US" w:eastAsia="zh-CN"/>
        </w:rPr>
        <w:t>5.阻燃性能要求：人造草坪生产企业出具的人造草坪产品依据GB/T 20394-2019、GB/T 43566-2023标准测试阻燃性（中心到损毁边沿最大距离≤45mm），经过氙灯老化168小时+雨水（3%乙酸，40℃）老化168小时+高低温老化7次循环（每个循环60℃ 12小时、常温1小时、－40℃ 12小时）老化测试后草丝耐磨保留率≥98%、阻燃性（中心到损毁边沿最大距离≤46mm）、表面电阻合格的专项检测，</w:t>
      </w:r>
      <w:r>
        <w:rPr>
          <w:rFonts w:hint="eastAsia" w:asciiTheme="majorEastAsia" w:hAnsiTheme="majorEastAsia" w:eastAsiaTheme="majorEastAsia" w:cstheme="majorEastAsia"/>
          <w:b/>
          <w:bCs/>
          <w:sz w:val="24"/>
          <w:szCs w:val="24"/>
          <w:lang w:val="en-US" w:eastAsia="zh-CN"/>
        </w:rPr>
        <w:t>须提供国家认可的第三方检测机构出具具有CMA标识的检测报告复印件加盖公章及全国认证认可信息公共服务平台网站（http：//cx.cnca.cn）查询截图佐证。</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heme="majorEastAsia" w:hAnsiTheme="majorEastAsia" w:eastAsiaTheme="majorEastAsia" w:cstheme="majorEastAsia"/>
          <w:b/>
          <w:bCs/>
          <w:sz w:val="24"/>
          <w:szCs w:val="24"/>
          <w:lang w:val="en-US" w:eastAsia="zh-CN"/>
        </w:rPr>
      </w:pPr>
    </w:p>
    <w:p>
      <w:pPr>
        <w:numPr>
          <w:ilvl w:val="0"/>
          <w:numId w:val="0"/>
        </w:numPr>
        <w:spacing w:line="360" w:lineRule="auto"/>
        <w:ind w:leftChars="0"/>
        <w:jc w:val="left"/>
        <w:outlineLvl w:val="0"/>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四、其他服务要求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1.工期：合同签订后，自园方通知之日起，7个工作日内完成场地平整、草坪供货、铺设及现场清理，并达到验收标准。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2.全过程应安全有序开展，在物料搬运、安装全过程中出现人员安全问题由成交人自行负责。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3.做好用水、用电管理，需与校方现场人员确认水、电牵引方式，不可出现私拉电线等危险行为。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4.完成所有铺设、安装工作后需对本区域范围内的卫生进行清理，垃圾清运。</w:t>
      </w:r>
    </w:p>
    <w:sectPr>
      <w:pgSz w:w="11906" w:h="16838"/>
      <w:pgMar w:top="1440"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AE06E"/>
    <w:multiLevelType w:val="singleLevel"/>
    <w:tmpl w:val="CB6AE0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95B17"/>
    <w:rsid w:val="04CE66EF"/>
    <w:rsid w:val="0C781806"/>
    <w:rsid w:val="0DBE2B84"/>
    <w:rsid w:val="0F7D38B3"/>
    <w:rsid w:val="190839A1"/>
    <w:rsid w:val="1B792B7F"/>
    <w:rsid w:val="1EC7512B"/>
    <w:rsid w:val="227635D6"/>
    <w:rsid w:val="2A1717F4"/>
    <w:rsid w:val="2FA56339"/>
    <w:rsid w:val="30134B5A"/>
    <w:rsid w:val="3E495B17"/>
    <w:rsid w:val="405A0974"/>
    <w:rsid w:val="40C46D1F"/>
    <w:rsid w:val="41362456"/>
    <w:rsid w:val="424D3B3D"/>
    <w:rsid w:val="47272655"/>
    <w:rsid w:val="52595FA5"/>
    <w:rsid w:val="54606C0D"/>
    <w:rsid w:val="572A7F10"/>
    <w:rsid w:val="609C2EF1"/>
    <w:rsid w:val="61CF617C"/>
    <w:rsid w:val="67C75C7F"/>
    <w:rsid w:val="68DB7072"/>
    <w:rsid w:val="6ECA57CB"/>
    <w:rsid w:val="76510A3F"/>
    <w:rsid w:val="7E1E4289"/>
    <w:rsid w:val="7EB916CE"/>
    <w:rsid w:val="ABBED2AA"/>
    <w:rsid w:val="F9D1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4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customStyle="1" w:styleId="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7">
    <w:name w:val="font41"/>
    <w:basedOn w:val="5"/>
    <w:autoRedefine/>
    <w:qFormat/>
    <w:uiPriority w:val="0"/>
    <w:rPr>
      <w:rFonts w:hint="default" w:ascii="Times New Roman" w:hAnsi="Times New Roman" w:cs="Times New Roman"/>
      <w:color w:val="000000"/>
      <w:sz w:val="20"/>
      <w:szCs w:val="20"/>
      <w:u w:val="none"/>
    </w:rPr>
  </w:style>
  <w:style w:type="character" w:customStyle="1" w:styleId="8">
    <w:name w:val="font51"/>
    <w:basedOn w:val="5"/>
    <w:autoRedefine/>
    <w:qFormat/>
    <w:uiPriority w:val="0"/>
    <w:rPr>
      <w:rFonts w:hint="eastAsia" w:ascii="宋体" w:hAnsi="宋体" w:eastAsia="宋体" w:cs="宋体"/>
      <w:color w:val="000000"/>
      <w:sz w:val="20"/>
      <w:szCs w:val="20"/>
      <w:u w:val="none"/>
    </w:rPr>
  </w:style>
  <w:style w:type="character" w:customStyle="1" w:styleId="9">
    <w:name w:val="font81"/>
    <w:basedOn w:val="5"/>
    <w:autoRedefine/>
    <w:qFormat/>
    <w:uiPriority w:val="0"/>
    <w:rPr>
      <w:rFonts w:hint="default" w:ascii="Times New Roman" w:hAnsi="Times New Roman" w:cs="Times New Roman"/>
      <w:color w:val="000000"/>
      <w:sz w:val="20"/>
      <w:szCs w:val="20"/>
      <w:u w:val="none"/>
      <w:vertAlign w:val="subscript"/>
    </w:rPr>
  </w:style>
  <w:style w:type="character" w:customStyle="1" w:styleId="10">
    <w:name w:val="标题 1 字符"/>
    <w:basedOn w:val="5"/>
    <w:link w:val="2"/>
    <w:qFormat/>
    <w:uiPriority w:val="0"/>
    <w:rPr>
      <w:b/>
      <w:kern w:val="44"/>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1862</Words>
  <Characters>2373</Characters>
  <Lines>0</Lines>
  <Paragraphs>0</Paragraphs>
  <TotalTime>1</TotalTime>
  <ScaleCrop>false</ScaleCrop>
  <LinksUpToDate>false</LinksUpToDate>
  <CharactersWithSpaces>2391</CharactersWithSpaces>
  <Application>WPS Office_12.8.2.17002_F1E327BC-269C-435d-A152-05C5408002CA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2026-03-13T16:35:00Z</dcterms:created>
  <dc:creator>.</dc:creator>
  <cp:lastModifiedBy>萝卜炖猪泡泡龙</cp:lastModifiedBy>
  <dcterms:modified xsi:type="dcterms:W3CDTF">2026-06-10T16:20:32Z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2052-12.8.2.17002</vt:lpwstr>
  </property>
  <property fmtid="{D5CDD505-2E9C-101B-9397-08002B2CF9AE}" pid="3" name="ICV">
    <vt:lpwstr>3819684E934A46D28D17CA7A4923E208_13</vt:lpwstr>
  </property>
  <property fmtid="{D5CDD505-2E9C-101B-9397-08002B2CF9AE}" pid="4" name="KSOTemplateDocerSaveRecord">
    <vt:lpwstr>eyJoZGlkIjoiMzAyNGY2NmRhYjM5ZWRmZDQ5NjRmMTdkM2ZhMTNkMzQiLCJ1c2VySWQiOiIzNzM5MDUzMDAifQ==</vt:lpwstr>
  </property>
</Properties>
</file>